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CC8E" w14:textId="6E4AE632" w:rsidR="000603A0" w:rsidRPr="00C0186C" w:rsidRDefault="000603A0" w:rsidP="00B70EE8">
      <w:pPr>
        <w:spacing w:before="0" w:after="0"/>
        <w:jc w:val="center"/>
        <w:rPr>
          <w:rFonts w:ascii="Times New Roman" w:hAnsi="Times New Roman" w:cs="Times New Roman"/>
          <w:b/>
          <w:sz w:val="24"/>
          <w:szCs w:val="24"/>
        </w:rPr>
      </w:pPr>
    </w:p>
    <w:p w14:paraId="22D533FC" w14:textId="77777777" w:rsidR="000B5C07" w:rsidRPr="00C0186C" w:rsidRDefault="000B5C07" w:rsidP="00B70EE8">
      <w:pPr>
        <w:spacing w:before="0" w:after="0"/>
        <w:jc w:val="center"/>
        <w:rPr>
          <w:rFonts w:ascii="Times New Roman" w:hAnsi="Times New Roman" w:cs="Times New Roman"/>
          <w:b/>
          <w:sz w:val="24"/>
          <w:szCs w:val="24"/>
        </w:rPr>
      </w:pPr>
    </w:p>
    <w:p w14:paraId="68382090" w14:textId="77777777" w:rsidR="000F3551" w:rsidRPr="00C0186C" w:rsidRDefault="000F3551" w:rsidP="00B70EE8">
      <w:pPr>
        <w:spacing w:before="0" w:after="0"/>
        <w:jc w:val="center"/>
        <w:rPr>
          <w:rFonts w:ascii="Times New Roman" w:hAnsi="Times New Roman" w:cs="Times New Roman"/>
          <w:b/>
          <w:sz w:val="24"/>
          <w:szCs w:val="24"/>
        </w:rPr>
      </w:pPr>
      <w:r w:rsidRPr="00C0186C">
        <w:rPr>
          <w:rFonts w:ascii="Times New Roman" w:hAnsi="Times New Roman" w:cs="Times New Roman"/>
          <w:b/>
          <w:sz w:val="24"/>
          <w:szCs w:val="24"/>
        </w:rPr>
        <w:t>MINISTARSTVO REGIONALNOGA RAZVOJA I FONDOVA EUROPSKE UNIJE</w:t>
      </w:r>
    </w:p>
    <w:p w14:paraId="4C46223B" w14:textId="77777777" w:rsidR="008E7387" w:rsidRPr="00C0186C" w:rsidRDefault="008E7387" w:rsidP="00B70EE8">
      <w:pPr>
        <w:spacing w:before="0" w:after="0"/>
        <w:rPr>
          <w:rFonts w:ascii="Times New Roman" w:hAnsi="Times New Roman" w:cs="Times New Roman"/>
          <w:sz w:val="24"/>
          <w:szCs w:val="24"/>
        </w:rPr>
      </w:pPr>
    </w:p>
    <w:p w14:paraId="399C1D2E" w14:textId="77777777" w:rsidR="008E7387" w:rsidRPr="00C0186C" w:rsidRDefault="008E7387" w:rsidP="00B70EE8">
      <w:pPr>
        <w:spacing w:before="0" w:after="0"/>
        <w:rPr>
          <w:rFonts w:ascii="Times New Roman" w:hAnsi="Times New Roman" w:cs="Times New Roman"/>
          <w:sz w:val="24"/>
          <w:szCs w:val="24"/>
        </w:rPr>
      </w:pPr>
    </w:p>
    <w:p w14:paraId="35184F32" w14:textId="77777777" w:rsidR="008E7387" w:rsidRPr="00C0186C" w:rsidRDefault="008E7387" w:rsidP="00B70EE8">
      <w:pPr>
        <w:spacing w:before="0" w:after="0"/>
        <w:rPr>
          <w:rFonts w:ascii="Times New Roman" w:hAnsi="Times New Roman" w:cs="Times New Roman"/>
          <w:sz w:val="24"/>
          <w:szCs w:val="24"/>
        </w:rPr>
      </w:pPr>
    </w:p>
    <w:p w14:paraId="05F9046F" w14:textId="77777777" w:rsidR="008E7387" w:rsidRPr="00C0186C" w:rsidRDefault="008E7387" w:rsidP="008C32F6">
      <w:pPr>
        <w:spacing w:before="0" w:after="0"/>
        <w:jc w:val="center"/>
        <w:rPr>
          <w:rFonts w:ascii="Times New Roman" w:hAnsi="Times New Roman" w:cs="Times New Roman"/>
          <w:sz w:val="24"/>
          <w:szCs w:val="24"/>
        </w:rPr>
      </w:pPr>
    </w:p>
    <w:p w14:paraId="3D2BBE0A" w14:textId="77777777" w:rsidR="008E7387" w:rsidRPr="00C0186C" w:rsidRDefault="008E7387" w:rsidP="00B70EE8">
      <w:pPr>
        <w:spacing w:before="0" w:after="0"/>
        <w:rPr>
          <w:rFonts w:ascii="Times New Roman" w:hAnsi="Times New Roman" w:cs="Times New Roman"/>
          <w:sz w:val="24"/>
          <w:szCs w:val="24"/>
        </w:rPr>
      </w:pPr>
    </w:p>
    <w:p w14:paraId="52264EF2" w14:textId="77777777" w:rsidR="008E7387" w:rsidRPr="00C0186C" w:rsidRDefault="008E7387" w:rsidP="00B70EE8">
      <w:pPr>
        <w:spacing w:before="0" w:after="0"/>
        <w:rPr>
          <w:rFonts w:ascii="Times New Roman" w:hAnsi="Times New Roman" w:cs="Times New Roman"/>
          <w:sz w:val="24"/>
          <w:szCs w:val="24"/>
        </w:rPr>
      </w:pPr>
    </w:p>
    <w:p w14:paraId="22AF752E" w14:textId="77777777" w:rsidR="008E7387" w:rsidRPr="00C0186C" w:rsidRDefault="008E7387" w:rsidP="00B70EE8">
      <w:pPr>
        <w:spacing w:before="0" w:after="0"/>
        <w:rPr>
          <w:rFonts w:ascii="Times New Roman" w:hAnsi="Times New Roman" w:cs="Times New Roman"/>
          <w:sz w:val="24"/>
          <w:szCs w:val="24"/>
        </w:rPr>
      </w:pPr>
    </w:p>
    <w:p w14:paraId="402F2254" w14:textId="77777777" w:rsidR="008E7387" w:rsidRPr="00C0186C" w:rsidRDefault="008E7387" w:rsidP="00B70EE8">
      <w:pPr>
        <w:spacing w:before="0" w:after="0"/>
        <w:rPr>
          <w:rFonts w:ascii="Times New Roman" w:hAnsi="Times New Roman" w:cs="Times New Roman"/>
          <w:sz w:val="24"/>
          <w:szCs w:val="24"/>
        </w:rPr>
      </w:pPr>
    </w:p>
    <w:p w14:paraId="6B44C854" w14:textId="77777777" w:rsidR="000603A0" w:rsidRPr="00C0186C" w:rsidRDefault="000603A0" w:rsidP="00B70EE8">
      <w:pPr>
        <w:spacing w:before="0" w:after="0"/>
        <w:rPr>
          <w:rFonts w:ascii="Times New Roman" w:hAnsi="Times New Roman" w:cs="Times New Roman"/>
          <w:sz w:val="24"/>
          <w:szCs w:val="24"/>
        </w:rPr>
      </w:pPr>
    </w:p>
    <w:p w14:paraId="48C63A39" w14:textId="77777777" w:rsidR="008E7387" w:rsidRPr="00C0186C" w:rsidRDefault="008E7387" w:rsidP="00B70EE8">
      <w:pPr>
        <w:spacing w:before="0" w:after="0"/>
        <w:rPr>
          <w:rFonts w:ascii="Times New Roman" w:hAnsi="Times New Roman" w:cs="Times New Roman"/>
          <w:sz w:val="24"/>
          <w:szCs w:val="24"/>
        </w:rPr>
      </w:pPr>
    </w:p>
    <w:p w14:paraId="77B47259" w14:textId="77777777" w:rsidR="008E7387" w:rsidRPr="00C0186C" w:rsidRDefault="008E7387" w:rsidP="00B70EE8">
      <w:pPr>
        <w:spacing w:before="0" w:after="0"/>
        <w:rPr>
          <w:rFonts w:ascii="Times New Roman" w:hAnsi="Times New Roman" w:cs="Times New Roman"/>
          <w:sz w:val="24"/>
          <w:szCs w:val="24"/>
        </w:rPr>
      </w:pPr>
    </w:p>
    <w:p w14:paraId="6093B1C6" w14:textId="77777777" w:rsidR="008E7387" w:rsidRPr="00C0186C" w:rsidRDefault="008E7387" w:rsidP="00B70EE8">
      <w:pPr>
        <w:spacing w:before="0" w:after="0"/>
        <w:rPr>
          <w:rFonts w:ascii="Times New Roman" w:hAnsi="Times New Roman" w:cs="Times New Roman"/>
          <w:sz w:val="24"/>
          <w:szCs w:val="24"/>
        </w:rPr>
      </w:pPr>
    </w:p>
    <w:p w14:paraId="1D17D312" w14:textId="77777777" w:rsidR="008E7387" w:rsidRPr="00C0186C" w:rsidRDefault="008E7387" w:rsidP="00B70EE8">
      <w:pPr>
        <w:spacing w:before="0" w:after="0"/>
        <w:rPr>
          <w:rFonts w:ascii="Times New Roman" w:hAnsi="Times New Roman" w:cs="Times New Roman"/>
          <w:sz w:val="24"/>
          <w:szCs w:val="24"/>
        </w:rPr>
      </w:pPr>
    </w:p>
    <w:p w14:paraId="360920B9" w14:textId="77777777" w:rsidR="008E7387" w:rsidRPr="00C0186C" w:rsidRDefault="00D62E3E" w:rsidP="00B70EE8">
      <w:pPr>
        <w:spacing w:before="0" w:after="0"/>
        <w:jc w:val="center"/>
        <w:rPr>
          <w:rFonts w:ascii="Times New Roman" w:eastAsia="Times New Roman" w:hAnsi="Times New Roman" w:cs="Times New Roman"/>
          <w:b/>
          <w:iCs/>
          <w:sz w:val="28"/>
          <w:szCs w:val="28"/>
          <w:lang w:eastAsia="hr-HR"/>
        </w:rPr>
      </w:pPr>
      <w:r w:rsidRPr="00C0186C">
        <w:rPr>
          <w:rFonts w:ascii="Times New Roman" w:eastAsia="Times New Roman" w:hAnsi="Times New Roman" w:cs="Times New Roman"/>
          <w:b/>
          <w:iCs/>
          <w:sz w:val="28"/>
          <w:szCs w:val="28"/>
          <w:lang w:eastAsia="hr-HR"/>
        </w:rPr>
        <w:t xml:space="preserve">PROGRAM </w:t>
      </w:r>
      <w:bookmarkStart w:id="0" w:name="_Hlk27339216"/>
      <w:r w:rsidR="00D31ECC" w:rsidRPr="00C0186C">
        <w:rPr>
          <w:rFonts w:ascii="Times New Roman" w:eastAsia="Times New Roman" w:hAnsi="Times New Roman" w:cs="Times New Roman"/>
          <w:b/>
          <w:iCs/>
          <w:sz w:val="28"/>
          <w:szCs w:val="28"/>
          <w:lang w:eastAsia="hr-HR"/>
        </w:rPr>
        <w:t xml:space="preserve">ODRŽIVOG DRUŠTVENOG I GOSPODARSKOG RAZVOJA POTPOMOGNUTIH PODRUČJA </w:t>
      </w:r>
    </w:p>
    <w:bookmarkEnd w:id="0"/>
    <w:p w14:paraId="1739221D" w14:textId="77777777" w:rsidR="008E7387" w:rsidRPr="00C0186C" w:rsidRDefault="008E7387" w:rsidP="00B70EE8">
      <w:pPr>
        <w:spacing w:before="0" w:after="0"/>
        <w:rPr>
          <w:rFonts w:ascii="Times New Roman" w:hAnsi="Times New Roman" w:cs="Times New Roman"/>
          <w:sz w:val="24"/>
          <w:szCs w:val="24"/>
        </w:rPr>
      </w:pPr>
    </w:p>
    <w:p w14:paraId="05DE8243" w14:textId="77777777" w:rsidR="008E7387" w:rsidRPr="00C0186C" w:rsidRDefault="008E7387" w:rsidP="00B70EE8">
      <w:pPr>
        <w:spacing w:before="0" w:after="0"/>
        <w:rPr>
          <w:rFonts w:ascii="Times New Roman" w:hAnsi="Times New Roman" w:cs="Times New Roman"/>
          <w:sz w:val="24"/>
          <w:szCs w:val="24"/>
        </w:rPr>
      </w:pPr>
    </w:p>
    <w:p w14:paraId="44380202" w14:textId="77777777" w:rsidR="008E7387" w:rsidRPr="00C0186C" w:rsidRDefault="008E7387" w:rsidP="00B70EE8">
      <w:pPr>
        <w:spacing w:before="0" w:after="0"/>
        <w:rPr>
          <w:rFonts w:ascii="Times New Roman" w:hAnsi="Times New Roman" w:cs="Times New Roman"/>
          <w:sz w:val="24"/>
          <w:szCs w:val="24"/>
        </w:rPr>
      </w:pPr>
    </w:p>
    <w:p w14:paraId="33B1CD03" w14:textId="3B2CF3B1" w:rsidR="008E7387" w:rsidRDefault="008E7387" w:rsidP="00B70EE8">
      <w:pPr>
        <w:spacing w:before="0" w:after="0"/>
        <w:rPr>
          <w:rFonts w:ascii="Times New Roman" w:hAnsi="Times New Roman" w:cs="Times New Roman"/>
          <w:sz w:val="24"/>
          <w:szCs w:val="24"/>
        </w:rPr>
      </w:pPr>
    </w:p>
    <w:p w14:paraId="468D9E26" w14:textId="41F8F145" w:rsidR="00B70EE8" w:rsidRDefault="00B70EE8" w:rsidP="00B70EE8">
      <w:pPr>
        <w:spacing w:before="0" w:after="0"/>
        <w:rPr>
          <w:rFonts w:ascii="Times New Roman" w:hAnsi="Times New Roman" w:cs="Times New Roman"/>
          <w:sz w:val="24"/>
          <w:szCs w:val="24"/>
        </w:rPr>
      </w:pPr>
    </w:p>
    <w:p w14:paraId="064CB944" w14:textId="486C06F9" w:rsidR="00B70EE8" w:rsidRDefault="00B70EE8" w:rsidP="00B70EE8">
      <w:pPr>
        <w:spacing w:before="0" w:after="0"/>
        <w:rPr>
          <w:rFonts w:ascii="Times New Roman" w:hAnsi="Times New Roman" w:cs="Times New Roman"/>
          <w:sz w:val="24"/>
          <w:szCs w:val="24"/>
        </w:rPr>
      </w:pPr>
    </w:p>
    <w:p w14:paraId="73544ACE" w14:textId="03C6C490" w:rsidR="00B70EE8" w:rsidRDefault="00B70EE8" w:rsidP="00B70EE8">
      <w:pPr>
        <w:spacing w:before="0" w:after="0"/>
        <w:rPr>
          <w:rFonts w:ascii="Times New Roman" w:hAnsi="Times New Roman" w:cs="Times New Roman"/>
          <w:sz w:val="24"/>
          <w:szCs w:val="24"/>
        </w:rPr>
      </w:pPr>
    </w:p>
    <w:p w14:paraId="7B6F885F" w14:textId="00CFB055" w:rsidR="00B70EE8" w:rsidRDefault="00B70EE8" w:rsidP="00B70EE8">
      <w:pPr>
        <w:spacing w:before="0" w:after="0"/>
        <w:rPr>
          <w:rFonts w:ascii="Times New Roman" w:hAnsi="Times New Roman" w:cs="Times New Roman"/>
          <w:sz w:val="24"/>
          <w:szCs w:val="24"/>
        </w:rPr>
      </w:pPr>
    </w:p>
    <w:p w14:paraId="3AAC5E42" w14:textId="01A8D85B" w:rsidR="00B70EE8" w:rsidRDefault="00B70EE8" w:rsidP="00B70EE8">
      <w:pPr>
        <w:spacing w:before="0" w:after="0"/>
        <w:rPr>
          <w:rFonts w:ascii="Times New Roman" w:hAnsi="Times New Roman" w:cs="Times New Roman"/>
          <w:sz w:val="24"/>
          <w:szCs w:val="24"/>
        </w:rPr>
      </w:pPr>
    </w:p>
    <w:p w14:paraId="4580D9D9" w14:textId="7B323BE9" w:rsidR="00B70EE8" w:rsidRDefault="00B70EE8" w:rsidP="00B70EE8">
      <w:pPr>
        <w:spacing w:before="0" w:after="0"/>
        <w:rPr>
          <w:rFonts w:ascii="Times New Roman" w:hAnsi="Times New Roman" w:cs="Times New Roman"/>
          <w:sz w:val="24"/>
          <w:szCs w:val="24"/>
        </w:rPr>
      </w:pPr>
    </w:p>
    <w:p w14:paraId="51315C65" w14:textId="6DB2672E" w:rsidR="00B70EE8" w:rsidRDefault="00B70EE8" w:rsidP="00B70EE8">
      <w:pPr>
        <w:spacing w:before="0" w:after="0"/>
        <w:rPr>
          <w:rFonts w:ascii="Times New Roman" w:hAnsi="Times New Roman" w:cs="Times New Roman"/>
          <w:sz w:val="24"/>
          <w:szCs w:val="24"/>
        </w:rPr>
      </w:pPr>
    </w:p>
    <w:p w14:paraId="702D3D67" w14:textId="129995A0" w:rsidR="00B70EE8" w:rsidRDefault="00B70EE8" w:rsidP="00B70EE8">
      <w:pPr>
        <w:spacing w:before="0" w:after="0"/>
        <w:rPr>
          <w:rFonts w:ascii="Times New Roman" w:hAnsi="Times New Roman" w:cs="Times New Roman"/>
          <w:sz w:val="24"/>
          <w:szCs w:val="24"/>
        </w:rPr>
      </w:pPr>
    </w:p>
    <w:p w14:paraId="290DE2AF" w14:textId="14BE18F6" w:rsidR="00B70EE8" w:rsidRDefault="00B70EE8" w:rsidP="00B70EE8">
      <w:pPr>
        <w:spacing w:before="0" w:after="0"/>
        <w:rPr>
          <w:rFonts w:ascii="Times New Roman" w:hAnsi="Times New Roman" w:cs="Times New Roman"/>
          <w:sz w:val="24"/>
          <w:szCs w:val="24"/>
        </w:rPr>
      </w:pPr>
    </w:p>
    <w:p w14:paraId="335B6751" w14:textId="77777777" w:rsidR="00B70EE8" w:rsidRPr="00C0186C" w:rsidRDefault="00B70EE8" w:rsidP="00B70EE8">
      <w:pPr>
        <w:spacing w:before="0" w:after="0"/>
        <w:rPr>
          <w:rFonts w:ascii="Times New Roman" w:hAnsi="Times New Roman" w:cs="Times New Roman"/>
          <w:sz w:val="24"/>
          <w:szCs w:val="24"/>
        </w:rPr>
      </w:pPr>
    </w:p>
    <w:p w14:paraId="4712AE1A" w14:textId="77777777" w:rsidR="008E7387" w:rsidRPr="00C0186C" w:rsidRDefault="008E7387" w:rsidP="00B70EE8">
      <w:pPr>
        <w:spacing w:before="0" w:after="0"/>
        <w:jc w:val="center"/>
        <w:rPr>
          <w:rFonts w:ascii="Times New Roman" w:hAnsi="Times New Roman" w:cs="Times New Roman"/>
          <w:b/>
          <w:sz w:val="24"/>
          <w:szCs w:val="24"/>
        </w:rPr>
      </w:pPr>
    </w:p>
    <w:p w14:paraId="56CD2182" w14:textId="77777777" w:rsidR="008E7387" w:rsidRPr="00C0186C" w:rsidRDefault="008E7387" w:rsidP="00B70EE8">
      <w:pPr>
        <w:spacing w:before="0" w:after="0"/>
        <w:rPr>
          <w:rFonts w:ascii="Times New Roman" w:hAnsi="Times New Roman" w:cs="Times New Roman"/>
          <w:b/>
          <w:sz w:val="24"/>
          <w:szCs w:val="24"/>
        </w:rPr>
      </w:pPr>
    </w:p>
    <w:p w14:paraId="168B68C6" w14:textId="77777777" w:rsidR="0053367F" w:rsidRPr="00C0186C" w:rsidRDefault="0053367F" w:rsidP="00B70EE8">
      <w:pPr>
        <w:spacing w:before="0" w:after="0"/>
        <w:jc w:val="center"/>
        <w:rPr>
          <w:rFonts w:ascii="Times New Roman" w:hAnsi="Times New Roman" w:cs="Times New Roman"/>
          <w:b/>
          <w:sz w:val="24"/>
          <w:szCs w:val="24"/>
        </w:rPr>
      </w:pPr>
    </w:p>
    <w:p w14:paraId="7D3F20A9" w14:textId="77777777" w:rsidR="0053367F" w:rsidRPr="00C0186C" w:rsidRDefault="0053367F" w:rsidP="00B70EE8">
      <w:pPr>
        <w:spacing w:before="0" w:after="0"/>
        <w:jc w:val="center"/>
        <w:rPr>
          <w:rFonts w:ascii="Times New Roman" w:hAnsi="Times New Roman" w:cs="Times New Roman"/>
          <w:b/>
          <w:sz w:val="24"/>
          <w:szCs w:val="24"/>
        </w:rPr>
      </w:pPr>
    </w:p>
    <w:p w14:paraId="79D4DE17" w14:textId="77777777" w:rsidR="008E7387" w:rsidRPr="00C0186C" w:rsidRDefault="008E7387" w:rsidP="00B70EE8">
      <w:pPr>
        <w:spacing w:before="0" w:after="0"/>
        <w:jc w:val="center"/>
        <w:rPr>
          <w:rFonts w:ascii="Times New Roman" w:hAnsi="Times New Roman" w:cs="Times New Roman"/>
          <w:b/>
          <w:sz w:val="24"/>
          <w:szCs w:val="24"/>
        </w:rPr>
      </w:pPr>
    </w:p>
    <w:p w14:paraId="76590B5E" w14:textId="77777777" w:rsidR="008E7387" w:rsidRPr="00C0186C" w:rsidRDefault="008E7387" w:rsidP="00B70EE8">
      <w:pPr>
        <w:spacing w:before="0" w:after="0"/>
        <w:jc w:val="center"/>
        <w:rPr>
          <w:rFonts w:ascii="Times New Roman" w:hAnsi="Times New Roman" w:cs="Times New Roman"/>
          <w:b/>
          <w:sz w:val="24"/>
          <w:szCs w:val="24"/>
        </w:rPr>
      </w:pPr>
    </w:p>
    <w:p w14:paraId="51160E75" w14:textId="77777777" w:rsidR="008E7387" w:rsidRPr="00C0186C" w:rsidRDefault="008E7387" w:rsidP="00B70EE8">
      <w:pPr>
        <w:spacing w:before="0" w:after="0"/>
        <w:jc w:val="center"/>
        <w:rPr>
          <w:rFonts w:ascii="Times New Roman" w:hAnsi="Times New Roman" w:cs="Times New Roman"/>
          <w:b/>
          <w:sz w:val="24"/>
          <w:szCs w:val="24"/>
        </w:rPr>
      </w:pPr>
    </w:p>
    <w:p w14:paraId="56357B57" w14:textId="77777777" w:rsidR="008E7387" w:rsidRPr="00C0186C" w:rsidRDefault="008E7387" w:rsidP="00B70EE8">
      <w:pPr>
        <w:spacing w:before="0" w:after="0"/>
        <w:jc w:val="center"/>
        <w:rPr>
          <w:rFonts w:ascii="Times New Roman" w:hAnsi="Times New Roman" w:cs="Times New Roman"/>
          <w:b/>
          <w:sz w:val="24"/>
          <w:szCs w:val="24"/>
        </w:rPr>
      </w:pPr>
    </w:p>
    <w:p w14:paraId="5CC99477" w14:textId="77777777" w:rsidR="008E7387" w:rsidRPr="00C0186C" w:rsidRDefault="008E7387" w:rsidP="00B70EE8">
      <w:pPr>
        <w:spacing w:before="0" w:after="0"/>
        <w:jc w:val="center"/>
        <w:rPr>
          <w:rFonts w:ascii="Times New Roman" w:hAnsi="Times New Roman" w:cs="Times New Roman"/>
          <w:b/>
          <w:sz w:val="24"/>
          <w:szCs w:val="24"/>
        </w:rPr>
      </w:pPr>
    </w:p>
    <w:p w14:paraId="3C518D98" w14:textId="77777777" w:rsidR="008E7387" w:rsidRPr="00C0186C" w:rsidRDefault="008E7387" w:rsidP="00B70EE8">
      <w:pPr>
        <w:spacing w:before="0" w:after="0"/>
        <w:jc w:val="center"/>
        <w:rPr>
          <w:rFonts w:ascii="Times New Roman" w:hAnsi="Times New Roman" w:cs="Times New Roman"/>
          <w:b/>
          <w:sz w:val="24"/>
          <w:szCs w:val="24"/>
        </w:rPr>
      </w:pPr>
    </w:p>
    <w:p w14:paraId="1FB1DD6F" w14:textId="78E35AA7" w:rsidR="008E7387" w:rsidRPr="00C0186C" w:rsidRDefault="00EF724C" w:rsidP="00B70EE8">
      <w:pPr>
        <w:spacing w:before="0" w:after="0"/>
        <w:rPr>
          <w:rFonts w:ascii="Times New Roman" w:hAnsi="Times New Roman" w:cs="Times New Roman"/>
          <w:b/>
          <w:sz w:val="24"/>
          <w:szCs w:val="24"/>
        </w:rPr>
        <w:sectPr w:rsidR="008E7387" w:rsidRPr="00C0186C" w:rsidSect="001337F7">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rsidRPr="00C0186C">
        <w:rPr>
          <w:rFonts w:ascii="Times New Roman" w:hAnsi="Times New Roman" w:cs="Times New Roman"/>
          <w:b/>
          <w:sz w:val="24"/>
          <w:szCs w:val="24"/>
        </w:rPr>
        <w:t xml:space="preserve">  </w:t>
      </w:r>
      <w:r w:rsidRPr="00C0186C">
        <w:rPr>
          <w:rFonts w:ascii="Times New Roman" w:hAnsi="Times New Roman" w:cs="Times New Roman"/>
          <w:b/>
          <w:sz w:val="24"/>
          <w:szCs w:val="24"/>
        </w:rPr>
        <w:tab/>
      </w:r>
      <w:r w:rsidRPr="00C0186C">
        <w:rPr>
          <w:rFonts w:ascii="Times New Roman" w:hAnsi="Times New Roman" w:cs="Times New Roman"/>
          <w:b/>
          <w:sz w:val="24"/>
          <w:szCs w:val="24"/>
        </w:rPr>
        <w:tab/>
      </w:r>
      <w:r w:rsidRPr="00C0186C">
        <w:rPr>
          <w:rFonts w:ascii="Times New Roman" w:hAnsi="Times New Roman" w:cs="Times New Roman"/>
          <w:b/>
          <w:sz w:val="24"/>
          <w:szCs w:val="24"/>
        </w:rPr>
        <w:tab/>
      </w:r>
      <w:r w:rsidRPr="00C0186C">
        <w:rPr>
          <w:rFonts w:ascii="Times New Roman" w:hAnsi="Times New Roman" w:cs="Times New Roman"/>
          <w:b/>
          <w:sz w:val="24"/>
          <w:szCs w:val="24"/>
        </w:rPr>
        <w:tab/>
        <w:t xml:space="preserve">          </w:t>
      </w:r>
      <w:r w:rsidR="002C1F01" w:rsidRPr="00C0186C">
        <w:rPr>
          <w:rFonts w:ascii="Times New Roman" w:hAnsi="Times New Roman" w:cs="Times New Roman"/>
          <w:b/>
          <w:sz w:val="24"/>
          <w:szCs w:val="24"/>
        </w:rPr>
        <w:t xml:space="preserve">Zagreb, </w:t>
      </w:r>
      <w:r w:rsidR="00F63D24" w:rsidRPr="00C0186C">
        <w:rPr>
          <w:rFonts w:ascii="Times New Roman" w:hAnsi="Times New Roman" w:cs="Times New Roman"/>
          <w:b/>
          <w:sz w:val="24"/>
          <w:szCs w:val="24"/>
        </w:rPr>
        <w:t>202</w:t>
      </w:r>
      <w:r w:rsidR="008B37EE">
        <w:rPr>
          <w:rFonts w:ascii="Times New Roman" w:hAnsi="Times New Roman" w:cs="Times New Roman"/>
          <w:b/>
          <w:sz w:val="24"/>
          <w:szCs w:val="24"/>
        </w:rPr>
        <w:t>2</w:t>
      </w:r>
      <w:r w:rsidR="008E7387" w:rsidRPr="00C0186C">
        <w:rPr>
          <w:rFonts w:ascii="Times New Roman" w:hAnsi="Times New Roman" w:cs="Times New Roman"/>
          <w:b/>
          <w:sz w:val="24"/>
          <w:szCs w:val="24"/>
        </w:rPr>
        <w:t>.</w:t>
      </w:r>
    </w:p>
    <w:sdt>
      <w:sdtPr>
        <w:rPr>
          <w:rFonts w:ascii="Times New Roman" w:eastAsiaTheme="minorHAnsi" w:hAnsi="Times New Roman" w:cs="Times New Roman"/>
          <w:bCs/>
          <w:caps w:val="0"/>
          <w:color w:val="auto"/>
          <w:spacing w:val="0"/>
          <w:sz w:val="24"/>
          <w:szCs w:val="24"/>
        </w:rPr>
        <w:id w:val="-1631475912"/>
        <w:docPartObj>
          <w:docPartGallery w:val="Table of Contents"/>
          <w:docPartUnique/>
        </w:docPartObj>
      </w:sdtPr>
      <w:sdtEndPr>
        <w:rPr>
          <w:rFonts w:eastAsiaTheme="minorEastAsia"/>
          <w:noProof/>
        </w:rPr>
      </w:sdtEndPr>
      <w:sdtContent>
        <w:p w14:paraId="05889D4E" w14:textId="67EC6A02" w:rsidR="008E2760" w:rsidRPr="00CA51E8" w:rsidRDefault="008E2760" w:rsidP="00B70EE8">
          <w:pPr>
            <w:pStyle w:val="TOCHeading"/>
            <w:spacing w:before="0"/>
            <w:rPr>
              <w:rFonts w:ascii="Times New Roman" w:hAnsi="Times New Roman" w:cs="Times New Roman"/>
              <w:bCs/>
              <w:sz w:val="24"/>
              <w:szCs w:val="24"/>
            </w:rPr>
          </w:pPr>
          <w:r w:rsidRPr="00CA51E8">
            <w:rPr>
              <w:rFonts w:ascii="Times New Roman" w:hAnsi="Times New Roman" w:cs="Times New Roman"/>
              <w:bCs/>
              <w:sz w:val="24"/>
              <w:szCs w:val="24"/>
            </w:rPr>
            <w:t>S</w:t>
          </w:r>
          <w:r w:rsidR="00CA51E8" w:rsidRPr="00CA51E8">
            <w:rPr>
              <w:rFonts w:ascii="Times New Roman" w:hAnsi="Times New Roman" w:cs="Times New Roman"/>
              <w:bCs/>
              <w:caps w:val="0"/>
              <w:sz w:val="24"/>
              <w:szCs w:val="24"/>
            </w:rPr>
            <w:t>adržaj</w:t>
          </w:r>
        </w:p>
        <w:p w14:paraId="47BC82FC" w14:textId="10449D86" w:rsidR="005738C7" w:rsidRPr="001E3D3B" w:rsidRDefault="008E2760">
          <w:pPr>
            <w:pStyle w:val="TOC1"/>
            <w:rPr>
              <w:rFonts w:asciiTheme="minorHAnsi" w:hAnsiTheme="minorHAnsi" w:cstheme="minorBidi"/>
              <w:bCs/>
              <w:lang w:eastAsia="hr-HR"/>
            </w:rPr>
          </w:pPr>
          <w:r w:rsidRPr="001E3D3B">
            <w:rPr>
              <w:bCs/>
            </w:rPr>
            <w:fldChar w:fldCharType="begin"/>
          </w:r>
          <w:r w:rsidRPr="001E3D3B">
            <w:rPr>
              <w:bCs/>
            </w:rPr>
            <w:instrText xml:space="preserve"> TOC \o "1-3" \h \z \u </w:instrText>
          </w:r>
          <w:r w:rsidRPr="001E3D3B">
            <w:rPr>
              <w:bCs/>
            </w:rPr>
            <w:fldChar w:fldCharType="separate"/>
          </w:r>
          <w:hyperlink w:anchor="_Toc95891852" w:history="1">
            <w:r w:rsidR="005738C7" w:rsidRPr="001E3D3B">
              <w:rPr>
                <w:rStyle w:val="Hyperlink"/>
                <w:bCs/>
              </w:rPr>
              <w:t>1.</w:t>
            </w:r>
            <w:r w:rsidR="005738C7" w:rsidRPr="001E3D3B">
              <w:rPr>
                <w:rFonts w:asciiTheme="minorHAnsi" w:hAnsiTheme="minorHAnsi" w:cstheme="minorBidi"/>
                <w:bCs/>
                <w:lang w:eastAsia="hr-HR"/>
              </w:rPr>
              <w:tab/>
            </w:r>
            <w:r w:rsidR="001E3D3B" w:rsidRPr="001E3D3B">
              <w:rPr>
                <w:rStyle w:val="Hyperlink"/>
                <w:bCs/>
              </w:rPr>
              <w:t>Uvod</w:t>
            </w:r>
            <w:r w:rsidR="005738C7" w:rsidRPr="001E3D3B">
              <w:rPr>
                <w:bCs/>
                <w:webHidden/>
              </w:rPr>
              <w:tab/>
            </w:r>
            <w:r w:rsidR="005738C7" w:rsidRPr="001E3D3B">
              <w:rPr>
                <w:bCs/>
                <w:webHidden/>
              </w:rPr>
              <w:fldChar w:fldCharType="begin"/>
            </w:r>
            <w:r w:rsidR="005738C7" w:rsidRPr="001E3D3B">
              <w:rPr>
                <w:bCs/>
                <w:webHidden/>
              </w:rPr>
              <w:instrText xml:space="preserve"> PAGEREF _Toc95891852 \h </w:instrText>
            </w:r>
            <w:r w:rsidR="005738C7" w:rsidRPr="001E3D3B">
              <w:rPr>
                <w:bCs/>
                <w:webHidden/>
              </w:rPr>
            </w:r>
            <w:r w:rsidR="005738C7" w:rsidRPr="001E3D3B">
              <w:rPr>
                <w:bCs/>
                <w:webHidden/>
              </w:rPr>
              <w:fldChar w:fldCharType="separate"/>
            </w:r>
            <w:r w:rsidR="001E3D3B">
              <w:rPr>
                <w:bCs/>
                <w:webHidden/>
              </w:rPr>
              <w:t>3</w:t>
            </w:r>
            <w:r w:rsidR="005738C7" w:rsidRPr="001E3D3B">
              <w:rPr>
                <w:bCs/>
                <w:webHidden/>
              </w:rPr>
              <w:fldChar w:fldCharType="end"/>
            </w:r>
          </w:hyperlink>
        </w:p>
        <w:p w14:paraId="25F9C794" w14:textId="767C482E" w:rsidR="005738C7" w:rsidRPr="001E3D3B" w:rsidRDefault="00B45476" w:rsidP="001E3D3B">
          <w:pPr>
            <w:pStyle w:val="TOC2"/>
            <w:rPr>
              <w:rFonts w:asciiTheme="minorHAnsi" w:hAnsiTheme="minorHAnsi" w:cstheme="minorBidi"/>
              <w:bCs/>
              <w:sz w:val="24"/>
              <w:szCs w:val="24"/>
              <w:lang w:eastAsia="hr-HR"/>
            </w:rPr>
          </w:pPr>
          <w:hyperlink w:anchor="_Toc95891853" w:history="1">
            <w:r w:rsidR="005738C7" w:rsidRPr="001E3D3B">
              <w:rPr>
                <w:rStyle w:val="Hyperlink"/>
                <w:bCs/>
                <w:sz w:val="24"/>
                <w:szCs w:val="24"/>
              </w:rPr>
              <w:t>1.1</w:t>
            </w:r>
            <w:r w:rsidR="001E3D3B" w:rsidRPr="001E3D3B">
              <w:rPr>
                <w:rStyle w:val="Hyperlink"/>
                <w:bCs/>
                <w:sz w:val="24"/>
                <w:szCs w:val="24"/>
              </w:rPr>
              <w:t xml:space="preserve"> Sadržaj programa</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_Toc95891853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3</w:t>
            </w:r>
            <w:r w:rsidR="005738C7" w:rsidRPr="001E3D3B">
              <w:rPr>
                <w:bCs/>
                <w:webHidden/>
                <w:sz w:val="24"/>
                <w:szCs w:val="24"/>
              </w:rPr>
              <w:fldChar w:fldCharType="end"/>
            </w:r>
          </w:hyperlink>
        </w:p>
        <w:p w14:paraId="7A6A3DEC" w14:textId="6523C895" w:rsidR="005738C7" w:rsidRPr="001E3D3B" w:rsidRDefault="00B45476">
          <w:pPr>
            <w:pStyle w:val="TOC1"/>
            <w:rPr>
              <w:rFonts w:asciiTheme="minorHAnsi" w:hAnsiTheme="minorHAnsi" w:cstheme="minorBidi"/>
              <w:bCs/>
              <w:lang w:eastAsia="hr-HR"/>
            </w:rPr>
          </w:pPr>
          <w:hyperlink w:anchor="_Toc95891854" w:history="1">
            <w:r w:rsidR="005738C7" w:rsidRPr="001E3D3B">
              <w:rPr>
                <w:rStyle w:val="Hyperlink"/>
                <w:bCs/>
              </w:rPr>
              <w:t>2.</w:t>
            </w:r>
            <w:r w:rsidR="005738C7" w:rsidRPr="001E3D3B">
              <w:rPr>
                <w:rFonts w:asciiTheme="minorHAnsi" w:hAnsiTheme="minorHAnsi" w:cstheme="minorBidi"/>
                <w:bCs/>
                <w:lang w:eastAsia="hr-HR"/>
              </w:rPr>
              <w:tab/>
            </w:r>
            <w:r w:rsidR="001E3D3B" w:rsidRPr="001E3D3B">
              <w:rPr>
                <w:rStyle w:val="Hyperlink"/>
                <w:bCs/>
              </w:rPr>
              <w:t>Pravni, strateški i institucionalni okvir</w:t>
            </w:r>
            <w:r w:rsidR="005738C7" w:rsidRPr="001E3D3B">
              <w:rPr>
                <w:bCs/>
                <w:webHidden/>
              </w:rPr>
              <w:tab/>
            </w:r>
            <w:r w:rsidR="005738C7" w:rsidRPr="001E3D3B">
              <w:rPr>
                <w:bCs/>
                <w:webHidden/>
              </w:rPr>
              <w:fldChar w:fldCharType="begin"/>
            </w:r>
            <w:r w:rsidR="005738C7" w:rsidRPr="001E3D3B">
              <w:rPr>
                <w:bCs/>
                <w:webHidden/>
              </w:rPr>
              <w:instrText xml:space="preserve"> PAGEREF _Toc95891854 \h </w:instrText>
            </w:r>
            <w:r w:rsidR="005738C7" w:rsidRPr="001E3D3B">
              <w:rPr>
                <w:bCs/>
                <w:webHidden/>
              </w:rPr>
            </w:r>
            <w:r w:rsidR="005738C7" w:rsidRPr="001E3D3B">
              <w:rPr>
                <w:bCs/>
                <w:webHidden/>
              </w:rPr>
              <w:fldChar w:fldCharType="separate"/>
            </w:r>
            <w:r w:rsidR="001E3D3B">
              <w:rPr>
                <w:bCs/>
                <w:webHidden/>
              </w:rPr>
              <w:t>4</w:t>
            </w:r>
            <w:r w:rsidR="005738C7" w:rsidRPr="001E3D3B">
              <w:rPr>
                <w:bCs/>
                <w:webHidden/>
              </w:rPr>
              <w:fldChar w:fldCharType="end"/>
            </w:r>
          </w:hyperlink>
        </w:p>
        <w:p w14:paraId="58D679AC" w14:textId="3D52E6A7" w:rsidR="005738C7" w:rsidRPr="001E3D3B" w:rsidRDefault="00B45476">
          <w:pPr>
            <w:pStyle w:val="TOC1"/>
            <w:rPr>
              <w:rFonts w:asciiTheme="minorHAnsi" w:hAnsiTheme="minorHAnsi" w:cstheme="minorBidi"/>
              <w:bCs/>
              <w:lang w:eastAsia="hr-HR"/>
            </w:rPr>
          </w:pPr>
          <w:hyperlink w:anchor="_Toc95891855" w:history="1">
            <w:r w:rsidR="005738C7" w:rsidRPr="001E3D3B">
              <w:rPr>
                <w:rStyle w:val="Hyperlink"/>
                <w:bCs/>
              </w:rPr>
              <w:t>3.</w:t>
            </w:r>
            <w:r w:rsidR="005738C7" w:rsidRPr="001E3D3B">
              <w:rPr>
                <w:rFonts w:asciiTheme="minorHAnsi" w:hAnsiTheme="minorHAnsi" w:cstheme="minorBidi"/>
                <w:bCs/>
                <w:lang w:eastAsia="hr-HR"/>
              </w:rPr>
              <w:tab/>
            </w:r>
            <w:r w:rsidR="001E3D3B" w:rsidRPr="001E3D3B">
              <w:rPr>
                <w:rStyle w:val="Hyperlink"/>
                <w:bCs/>
              </w:rPr>
              <w:t>Ključni nalazi analitičke podloge</w:t>
            </w:r>
            <w:r w:rsidR="005738C7" w:rsidRPr="001E3D3B">
              <w:rPr>
                <w:bCs/>
                <w:webHidden/>
              </w:rPr>
              <w:tab/>
            </w:r>
            <w:r w:rsidR="005738C7" w:rsidRPr="001E3D3B">
              <w:rPr>
                <w:bCs/>
                <w:webHidden/>
              </w:rPr>
              <w:fldChar w:fldCharType="begin"/>
            </w:r>
            <w:r w:rsidR="005738C7" w:rsidRPr="001E3D3B">
              <w:rPr>
                <w:bCs/>
                <w:webHidden/>
              </w:rPr>
              <w:instrText xml:space="preserve"> PAGEREF _Toc95891855 \h </w:instrText>
            </w:r>
            <w:r w:rsidR="005738C7" w:rsidRPr="001E3D3B">
              <w:rPr>
                <w:bCs/>
                <w:webHidden/>
              </w:rPr>
            </w:r>
            <w:r w:rsidR="005738C7" w:rsidRPr="001E3D3B">
              <w:rPr>
                <w:bCs/>
                <w:webHidden/>
              </w:rPr>
              <w:fldChar w:fldCharType="separate"/>
            </w:r>
            <w:r w:rsidR="001E3D3B">
              <w:rPr>
                <w:bCs/>
                <w:webHidden/>
              </w:rPr>
              <w:t>9</w:t>
            </w:r>
            <w:r w:rsidR="005738C7" w:rsidRPr="001E3D3B">
              <w:rPr>
                <w:bCs/>
                <w:webHidden/>
              </w:rPr>
              <w:fldChar w:fldCharType="end"/>
            </w:r>
          </w:hyperlink>
        </w:p>
        <w:p w14:paraId="3706ADE7" w14:textId="08D6BC1F" w:rsidR="005738C7" w:rsidRPr="001E3D3B" w:rsidRDefault="00B45476" w:rsidP="001E3D3B">
          <w:pPr>
            <w:pStyle w:val="TOC2"/>
            <w:rPr>
              <w:rFonts w:asciiTheme="minorHAnsi" w:hAnsiTheme="minorHAnsi" w:cstheme="minorBidi"/>
              <w:bCs/>
              <w:sz w:val="24"/>
              <w:szCs w:val="24"/>
              <w:lang w:eastAsia="hr-HR"/>
            </w:rPr>
          </w:pPr>
          <w:hyperlink w:anchor="_Toc95891856" w:history="1">
            <w:r w:rsidR="001E3D3B" w:rsidRPr="001E3D3B">
              <w:rPr>
                <w:rStyle w:val="Hyperlink"/>
                <w:bCs/>
                <w:sz w:val="24"/>
                <w:szCs w:val="24"/>
              </w:rPr>
              <w:t>3.1. Dugoročna socijalno-ekonomska obilježja potpomognutih područja</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_Toc95891856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10</w:t>
            </w:r>
            <w:r w:rsidR="005738C7" w:rsidRPr="001E3D3B">
              <w:rPr>
                <w:bCs/>
                <w:webHidden/>
                <w:sz w:val="24"/>
                <w:szCs w:val="24"/>
              </w:rPr>
              <w:fldChar w:fldCharType="end"/>
            </w:r>
          </w:hyperlink>
        </w:p>
        <w:p w14:paraId="164A3868" w14:textId="408CDC9A" w:rsidR="005738C7" w:rsidRPr="001E3D3B" w:rsidRDefault="00B45476" w:rsidP="001E3D3B">
          <w:pPr>
            <w:pStyle w:val="TOC2"/>
            <w:rPr>
              <w:rFonts w:asciiTheme="minorHAnsi" w:hAnsiTheme="minorHAnsi" w:cstheme="minorBidi"/>
              <w:bCs/>
              <w:sz w:val="24"/>
              <w:szCs w:val="24"/>
              <w:lang w:eastAsia="hr-HR"/>
            </w:rPr>
          </w:pPr>
          <w:hyperlink w:anchor="_Toc95891857" w:history="1">
            <w:r w:rsidR="001E3D3B" w:rsidRPr="001E3D3B">
              <w:rPr>
                <w:rStyle w:val="Hyperlink"/>
                <w:bCs/>
                <w:sz w:val="24"/>
                <w:szCs w:val="24"/>
              </w:rPr>
              <w:t>3.2. Kratkoročni pokazatelji stanja</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_Toc95891857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11</w:t>
            </w:r>
            <w:r w:rsidR="005738C7" w:rsidRPr="001E3D3B">
              <w:rPr>
                <w:bCs/>
                <w:webHidden/>
                <w:sz w:val="24"/>
                <w:szCs w:val="24"/>
              </w:rPr>
              <w:fldChar w:fldCharType="end"/>
            </w:r>
          </w:hyperlink>
        </w:p>
        <w:p w14:paraId="3862BE2E" w14:textId="1ABBC49A" w:rsidR="005738C7" w:rsidRPr="001E3D3B" w:rsidRDefault="00B45476" w:rsidP="001E3D3B">
          <w:pPr>
            <w:pStyle w:val="TOC2"/>
            <w:rPr>
              <w:rFonts w:asciiTheme="minorHAnsi" w:hAnsiTheme="minorHAnsi" w:cstheme="minorBidi"/>
              <w:bCs/>
              <w:sz w:val="24"/>
              <w:szCs w:val="24"/>
              <w:lang w:eastAsia="hr-HR"/>
            </w:rPr>
          </w:pPr>
          <w:hyperlink w:anchor="_Toc95891858" w:history="1">
            <w:r w:rsidR="001E3D3B" w:rsidRPr="001E3D3B">
              <w:rPr>
                <w:rStyle w:val="Hyperlink"/>
                <w:bCs/>
                <w:sz w:val="24"/>
                <w:szCs w:val="24"/>
              </w:rPr>
              <w:t>3.3. Ocjena učinaka dosadašnjih mjera potpore razvoja</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_Toc95891858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16</w:t>
            </w:r>
            <w:r w:rsidR="005738C7" w:rsidRPr="001E3D3B">
              <w:rPr>
                <w:bCs/>
                <w:webHidden/>
                <w:sz w:val="24"/>
                <w:szCs w:val="24"/>
              </w:rPr>
              <w:fldChar w:fldCharType="end"/>
            </w:r>
          </w:hyperlink>
        </w:p>
        <w:p w14:paraId="3F26C0BB" w14:textId="239883F0" w:rsidR="005738C7" w:rsidRPr="001E3D3B" w:rsidRDefault="00B45476">
          <w:pPr>
            <w:pStyle w:val="TOC1"/>
            <w:rPr>
              <w:rFonts w:asciiTheme="minorHAnsi" w:hAnsiTheme="minorHAnsi" w:cstheme="minorBidi"/>
              <w:bCs/>
              <w:lang w:eastAsia="hr-HR"/>
            </w:rPr>
          </w:pPr>
          <w:hyperlink w:anchor="_Toc95891859" w:history="1">
            <w:r w:rsidR="005738C7" w:rsidRPr="001E3D3B">
              <w:rPr>
                <w:rStyle w:val="Hyperlink"/>
                <w:bCs/>
              </w:rPr>
              <w:t>4.</w:t>
            </w:r>
            <w:r w:rsidR="005738C7" w:rsidRPr="001E3D3B">
              <w:rPr>
                <w:rFonts w:asciiTheme="minorHAnsi" w:hAnsiTheme="minorHAnsi" w:cstheme="minorBidi"/>
                <w:bCs/>
                <w:lang w:eastAsia="hr-HR"/>
              </w:rPr>
              <w:tab/>
            </w:r>
            <w:r w:rsidR="001E3D3B" w:rsidRPr="001E3D3B">
              <w:rPr>
                <w:rStyle w:val="Hyperlink"/>
                <w:bCs/>
              </w:rPr>
              <w:t>Konceptualna polazišta za izradu programa i ciljevi programa</w:t>
            </w:r>
            <w:r w:rsidR="005738C7" w:rsidRPr="001E3D3B">
              <w:rPr>
                <w:bCs/>
                <w:webHidden/>
              </w:rPr>
              <w:tab/>
            </w:r>
            <w:r w:rsidR="005738C7" w:rsidRPr="001E3D3B">
              <w:rPr>
                <w:bCs/>
                <w:webHidden/>
              </w:rPr>
              <w:fldChar w:fldCharType="begin"/>
            </w:r>
            <w:r w:rsidR="005738C7" w:rsidRPr="001E3D3B">
              <w:rPr>
                <w:bCs/>
                <w:webHidden/>
              </w:rPr>
              <w:instrText xml:space="preserve"> PAGEREF _Toc95891859 \h </w:instrText>
            </w:r>
            <w:r w:rsidR="005738C7" w:rsidRPr="001E3D3B">
              <w:rPr>
                <w:bCs/>
                <w:webHidden/>
              </w:rPr>
            </w:r>
            <w:r w:rsidR="005738C7" w:rsidRPr="001E3D3B">
              <w:rPr>
                <w:bCs/>
                <w:webHidden/>
              </w:rPr>
              <w:fldChar w:fldCharType="separate"/>
            </w:r>
            <w:r w:rsidR="001E3D3B">
              <w:rPr>
                <w:bCs/>
                <w:webHidden/>
              </w:rPr>
              <w:t>24</w:t>
            </w:r>
            <w:r w:rsidR="005738C7" w:rsidRPr="001E3D3B">
              <w:rPr>
                <w:bCs/>
                <w:webHidden/>
              </w:rPr>
              <w:fldChar w:fldCharType="end"/>
            </w:r>
          </w:hyperlink>
        </w:p>
        <w:p w14:paraId="4CBC8D7D" w14:textId="003209A8" w:rsidR="005738C7" w:rsidRPr="001E3D3B" w:rsidRDefault="00B45476" w:rsidP="001E3D3B">
          <w:pPr>
            <w:pStyle w:val="TOC2"/>
            <w:rPr>
              <w:rFonts w:asciiTheme="minorHAnsi" w:hAnsiTheme="minorHAnsi" w:cstheme="minorBidi"/>
              <w:bCs/>
              <w:sz w:val="24"/>
              <w:szCs w:val="24"/>
              <w:lang w:eastAsia="hr-HR"/>
            </w:rPr>
          </w:pPr>
          <w:hyperlink w:anchor="_Toc95891860" w:history="1">
            <w:r w:rsidR="001E3D3B" w:rsidRPr="001E3D3B">
              <w:rPr>
                <w:rStyle w:val="Hyperlink"/>
                <w:bCs/>
                <w:sz w:val="24"/>
                <w:szCs w:val="24"/>
              </w:rPr>
              <w:t>4.1. Konceptualni okvir</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_Toc95891860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24</w:t>
            </w:r>
            <w:r w:rsidR="005738C7" w:rsidRPr="001E3D3B">
              <w:rPr>
                <w:bCs/>
                <w:webHidden/>
                <w:sz w:val="24"/>
                <w:szCs w:val="24"/>
              </w:rPr>
              <w:fldChar w:fldCharType="end"/>
            </w:r>
          </w:hyperlink>
        </w:p>
        <w:p w14:paraId="788CE027" w14:textId="62BDE42E" w:rsidR="005738C7" w:rsidRPr="001E3D3B" w:rsidRDefault="00B45476" w:rsidP="001E3D3B">
          <w:pPr>
            <w:pStyle w:val="TOC2"/>
            <w:rPr>
              <w:rFonts w:asciiTheme="minorHAnsi" w:hAnsiTheme="minorHAnsi" w:cstheme="minorBidi"/>
              <w:bCs/>
              <w:sz w:val="24"/>
              <w:szCs w:val="24"/>
              <w:lang w:eastAsia="hr-HR"/>
            </w:rPr>
          </w:pPr>
          <w:hyperlink w:anchor="_Toc95891861" w:history="1">
            <w:r w:rsidR="001E3D3B" w:rsidRPr="001E3D3B">
              <w:rPr>
                <w:rStyle w:val="Hyperlink"/>
                <w:bCs/>
                <w:sz w:val="24"/>
                <w:szCs w:val="24"/>
              </w:rPr>
              <w:t>4.2. Ciljevi programa</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_Toc95891861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25</w:t>
            </w:r>
            <w:r w:rsidR="005738C7" w:rsidRPr="001E3D3B">
              <w:rPr>
                <w:bCs/>
                <w:webHidden/>
                <w:sz w:val="24"/>
                <w:szCs w:val="24"/>
              </w:rPr>
              <w:fldChar w:fldCharType="end"/>
            </w:r>
          </w:hyperlink>
        </w:p>
        <w:p w14:paraId="4F804003" w14:textId="34D8FA58" w:rsidR="005738C7" w:rsidRPr="001E3D3B" w:rsidRDefault="00B45476">
          <w:pPr>
            <w:pStyle w:val="TOC1"/>
            <w:rPr>
              <w:rFonts w:asciiTheme="minorHAnsi" w:hAnsiTheme="minorHAnsi" w:cstheme="minorBidi"/>
              <w:bCs/>
              <w:lang w:eastAsia="hr-HR"/>
            </w:rPr>
          </w:pPr>
          <w:hyperlink w:anchor="_Toc95891862" w:history="1">
            <w:r w:rsidR="005738C7" w:rsidRPr="001E3D3B">
              <w:rPr>
                <w:rStyle w:val="Hyperlink"/>
                <w:bCs/>
              </w:rPr>
              <w:t>5.</w:t>
            </w:r>
            <w:r w:rsidR="005738C7" w:rsidRPr="001E3D3B">
              <w:rPr>
                <w:rFonts w:asciiTheme="minorHAnsi" w:hAnsiTheme="minorHAnsi" w:cstheme="minorBidi"/>
                <w:bCs/>
                <w:lang w:eastAsia="hr-HR"/>
              </w:rPr>
              <w:tab/>
            </w:r>
            <w:r w:rsidR="001E3D3B" w:rsidRPr="001E3D3B">
              <w:rPr>
                <w:rStyle w:val="Hyperlink"/>
                <w:bCs/>
              </w:rPr>
              <w:t>Mjere i aktivnosti</w:t>
            </w:r>
            <w:r w:rsidR="005738C7" w:rsidRPr="001E3D3B">
              <w:rPr>
                <w:bCs/>
                <w:webHidden/>
              </w:rPr>
              <w:tab/>
            </w:r>
            <w:r w:rsidR="005738C7" w:rsidRPr="001E3D3B">
              <w:rPr>
                <w:bCs/>
                <w:webHidden/>
              </w:rPr>
              <w:fldChar w:fldCharType="begin"/>
            </w:r>
            <w:r w:rsidR="005738C7" w:rsidRPr="001E3D3B">
              <w:rPr>
                <w:bCs/>
                <w:webHidden/>
              </w:rPr>
              <w:instrText xml:space="preserve"> PAGEREF _Toc95891862 \h </w:instrText>
            </w:r>
            <w:r w:rsidR="005738C7" w:rsidRPr="001E3D3B">
              <w:rPr>
                <w:bCs/>
                <w:webHidden/>
              </w:rPr>
            </w:r>
            <w:r w:rsidR="005738C7" w:rsidRPr="001E3D3B">
              <w:rPr>
                <w:bCs/>
                <w:webHidden/>
              </w:rPr>
              <w:fldChar w:fldCharType="separate"/>
            </w:r>
            <w:r w:rsidR="001E3D3B">
              <w:rPr>
                <w:bCs/>
                <w:webHidden/>
              </w:rPr>
              <w:t>29</w:t>
            </w:r>
            <w:r w:rsidR="005738C7" w:rsidRPr="001E3D3B">
              <w:rPr>
                <w:bCs/>
                <w:webHidden/>
              </w:rPr>
              <w:fldChar w:fldCharType="end"/>
            </w:r>
          </w:hyperlink>
        </w:p>
        <w:p w14:paraId="06249912" w14:textId="01987768" w:rsidR="005738C7" w:rsidRPr="001E3D3B" w:rsidRDefault="00B45476" w:rsidP="001E3D3B">
          <w:pPr>
            <w:pStyle w:val="TOC2"/>
            <w:rPr>
              <w:rFonts w:asciiTheme="minorHAnsi" w:hAnsiTheme="minorHAnsi" w:cstheme="minorBidi"/>
              <w:bCs/>
              <w:sz w:val="24"/>
              <w:szCs w:val="24"/>
              <w:lang w:eastAsia="hr-HR"/>
            </w:rPr>
          </w:pPr>
          <w:hyperlink w:anchor="_Toc95891863" w:history="1">
            <w:r w:rsidR="001E3D3B" w:rsidRPr="001E3D3B">
              <w:rPr>
                <w:rStyle w:val="Hyperlink"/>
                <w:bCs/>
                <w:sz w:val="24"/>
                <w:szCs w:val="24"/>
              </w:rPr>
              <w:t>5.1. Mjere programa</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_Toc95891863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29</w:t>
            </w:r>
            <w:r w:rsidR="005738C7" w:rsidRPr="001E3D3B">
              <w:rPr>
                <w:bCs/>
                <w:webHidden/>
                <w:sz w:val="24"/>
                <w:szCs w:val="24"/>
              </w:rPr>
              <w:fldChar w:fldCharType="end"/>
            </w:r>
          </w:hyperlink>
        </w:p>
        <w:p w14:paraId="4511032F" w14:textId="418457FB" w:rsidR="005738C7" w:rsidRPr="001E3D3B" w:rsidRDefault="00B45476" w:rsidP="001E3D3B">
          <w:pPr>
            <w:pStyle w:val="TOC2"/>
            <w:rPr>
              <w:rFonts w:asciiTheme="minorHAnsi" w:hAnsiTheme="minorHAnsi" w:cstheme="minorBidi"/>
              <w:bCs/>
              <w:sz w:val="24"/>
              <w:szCs w:val="24"/>
              <w:lang w:eastAsia="hr-HR"/>
            </w:rPr>
          </w:pPr>
          <w:hyperlink w:anchor="_Toc95891864" w:history="1">
            <w:r w:rsidR="005738C7" w:rsidRPr="001E3D3B">
              <w:rPr>
                <w:rStyle w:val="Hyperlink"/>
                <w:bCs/>
                <w:sz w:val="24"/>
                <w:szCs w:val="24"/>
              </w:rPr>
              <w:t xml:space="preserve">5.2. </w:t>
            </w:r>
            <w:r w:rsidR="001E3D3B" w:rsidRPr="001E3D3B">
              <w:rPr>
                <w:rStyle w:val="Hyperlink"/>
                <w:bCs/>
                <w:sz w:val="24"/>
                <w:szCs w:val="24"/>
                <w:shd w:val="clear" w:color="auto" w:fill="DEEAF6" w:themeFill="accent1" w:themeFillTint="33"/>
              </w:rPr>
              <w:t>Aktivnosti i projekti</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_Toc95891864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37</w:t>
            </w:r>
            <w:r w:rsidR="005738C7" w:rsidRPr="001E3D3B">
              <w:rPr>
                <w:bCs/>
                <w:webHidden/>
                <w:sz w:val="24"/>
                <w:szCs w:val="24"/>
              </w:rPr>
              <w:fldChar w:fldCharType="end"/>
            </w:r>
          </w:hyperlink>
        </w:p>
        <w:p w14:paraId="38B3EC07" w14:textId="08839E1B" w:rsidR="005738C7" w:rsidRPr="001E3D3B" w:rsidRDefault="00B45476" w:rsidP="001E3D3B">
          <w:pPr>
            <w:pStyle w:val="TOC2"/>
            <w:rPr>
              <w:rFonts w:asciiTheme="minorHAnsi" w:hAnsiTheme="minorHAnsi" w:cstheme="minorBidi"/>
              <w:bCs/>
              <w:sz w:val="24"/>
              <w:szCs w:val="24"/>
              <w:lang w:eastAsia="hr-HR"/>
            </w:rPr>
          </w:pPr>
          <w:hyperlink w:anchor="_Toc95891865" w:history="1">
            <w:r w:rsidR="001E3D3B" w:rsidRPr="001E3D3B">
              <w:rPr>
                <w:rStyle w:val="Hyperlink"/>
                <w:rFonts w:eastAsia="Verdana"/>
                <w:bCs/>
                <w:sz w:val="24"/>
                <w:szCs w:val="24"/>
              </w:rPr>
              <w:t>5.3. Nova karta regionalnih potpora</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_Toc95891865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44</w:t>
            </w:r>
            <w:r w:rsidR="005738C7" w:rsidRPr="001E3D3B">
              <w:rPr>
                <w:bCs/>
                <w:webHidden/>
                <w:sz w:val="24"/>
                <w:szCs w:val="24"/>
              </w:rPr>
              <w:fldChar w:fldCharType="end"/>
            </w:r>
          </w:hyperlink>
        </w:p>
        <w:p w14:paraId="6972AD18" w14:textId="28C95B99" w:rsidR="005738C7" w:rsidRPr="001E3D3B" w:rsidRDefault="00B45476" w:rsidP="001E3D3B">
          <w:pPr>
            <w:pStyle w:val="TOC2"/>
            <w:rPr>
              <w:rFonts w:asciiTheme="minorHAnsi" w:hAnsiTheme="minorHAnsi" w:cstheme="minorBidi"/>
              <w:bCs/>
              <w:sz w:val="24"/>
              <w:szCs w:val="24"/>
              <w:lang w:eastAsia="hr-HR"/>
            </w:rPr>
          </w:pPr>
          <w:hyperlink w:anchor="_Toc95891866" w:history="1">
            <w:r w:rsidR="001E3D3B" w:rsidRPr="001E3D3B">
              <w:rPr>
                <w:rStyle w:val="Hyperlink"/>
                <w:rFonts w:eastAsiaTheme="majorEastAsia"/>
                <w:bCs/>
                <w:sz w:val="24"/>
                <w:szCs w:val="24"/>
                <w:lang w:eastAsia="hr-HR"/>
              </w:rPr>
              <w:t>5.4. Višegodišnji financijski okvir 2021.-2027.</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_Toc95891866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45</w:t>
            </w:r>
            <w:r w:rsidR="005738C7" w:rsidRPr="001E3D3B">
              <w:rPr>
                <w:bCs/>
                <w:webHidden/>
                <w:sz w:val="24"/>
                <w:szCs w:val="24"/>
              </w:rPr>
              <w:fldChar w:fldCharType="end"/>
            </w:r>
          </w:hyperlink>
        </w:p>
        <w:p w14:paraId="6F6768C7" w14:textId="59C2A0D8" w:rsidR="005738C7" w:rsidRPr="001E3D3B" w:rsidRDefault="00B45476" w:rsidP="001E3D3B">
          <w:pPr>
            <w:pStyle w:val="TOC2"/>
            <w:rPr>
              <w:rFonts w:asciiTheme="minorHAnsi" w:hAnsiTheme="minorHAnsi" w:cstheme="minorBidi"/>
              <w:bCs/>
              <w:sz w:val="24"/>
              <w:szCs w:val="24"/>
              <w:lang w:eastAsia="hr-HR"/>
            </w:rPr>
          </w:pPr>
          <w:hyperlink w:anchor="_Toc95891867" w:history="1">
            <w:r w:rsidR="001E3D3B" w:rsidRPr="001E3D3B">
              <w:rPr>
                <w:rStyle w:val="Hyperlink"/>
                <w:bCs/>
                <w:sz w:val="24"/>
                <w:szCs w:val="24"/>
                <w:lang w:eastAsia="hr-HR"/>
              </w:rPr>
              <w:t>5.5. Program konkurentnost i kohezija 2021. – 2027.</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_Toc95891867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46</w:t>
            </w:r>
            <w:r w:rsidR="005738C7" w:rsidRPr="001E3D3B">
              <w:rPr>
                <w:bCs/>
                <w:webHidden/>
                <w:sz w:val="24"/>
                <w:szCs w:val="24"/>
              </w:rPr>
              <w:fldChar w:fldCharType="end"/>
            </w:r>
          </w:hyperlink>
        </w:p>
        <w:p w14:paraId="6D2B8C2E" w14:textId="3E3818AB" w:rsidR="005738C7" w:rsidRPr="001E3D3B" w:rsidRDefault="00B45476" w:rsidP="001E3D3B">
          <w:pPr>
            <w:pStyle w:val="TOC2"/>
            <w:rPr>
              <w:rFonts w:asciiTheme="minorHAnsi" w:hAnsiTheme="minorHAnsi" w:cstheme="minorBidi"/>
              <w:bCs/>
              <w:sz w:val="24"/>
              <w:szCs w:val="24"/>
              <w:lang w:eastAsia="hr-HR"/>
            </w:rPr>
          </w:pPr>
          <w:hyperlink w:anchor="_Toc95891868" w:history="1">
            <w:r w:rsidR="005738C7" w:rsidRPr="001E3D3B">
              <w:rPr>
                <w:rStyle w:val="Hyperlink"/>
                <w:bCs/>
                <w:sz w:val="24"/>
                <w:szCs w:val="24"/>
                <w:lang w:eastAsia="hr-HR"/>
              </w:rPr>
              <w:t>5.6.</w:t>
            </w:r>
            <w:r w:rsidR="001E3D3B" w:rsidRPr="001E3D3B">
              <w:rPr>
                <w:rStyle w:val="Hyperlink"/>
                <w:bCs/>
                <w:sz w:val="24"/>
                <w:szCs w:val="24"/>
                <w:lang w:eastAsia="hr-HR"/>
              </w:rPr>
              <w:t>Integrirani teritorijalni program 2021.- 2027.</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_Toc95891868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47</w:t>
            </w:r>
            <w:r w:rsidR="005738C7" w:rsidRPr="001E3D3B">
              <w:rPr>
                <w:bCs/>
                <w:webHidden/>
                <w:sz w:val="24"/>
                <w:szCs w:val="24"/>
              </w:rPr>
              <w:fldChar w:fldCharType="end"/>
            </w:r>
          </w:hyperlink>
        </w:p>
        <w:p w14:paraId="3AADC483" w14:textId="59F2DB64" w:rsidR="005738C7" w:rsidRPr="001E3D3B" w:rsidRDefault="00B45476" w:rsidP="001E3D3B">
          <w:pPr>
            <w:pStyle w:val="TOC2"/>
            <w:rPr>
              <w:rFonts w:asciiTheme="minorHAnsi" w:hAnsiTheme="minorHAnsi" w:cstheme="minorBidi"/>
              <w:bCs/>
              <w:sz w:val="24"/>
              <w:szCs w:val="24"/>
              <w:lang w:eastAsia="hr-HR"/>
            </w:rPr>
          </w:pPr>
          <w:hyperlink w:anchor="_Toc95891869" w:history="1">
            <w:r w:rsidR="005738C7" w:rsidRPr="001E3D3B">
              <w:rPr>
                <w:rStyle w:val="Hyperlink"/>
                <w:bCs/>
                <w:sz w:val="24"/>
                <w:szCs w:val="24"/>
                <w:lang w:eastAsia="hr-HR"/>
              </w:rPr>
              <w:t>5.7.</w:t>
            </w:r>
            <w:r w:rsidR="001E3D3B" w:rsidRPr="001E3D3B">
              <w:rPr>
                <w:rStyle w:val="Hyperlink"/>
                <w:bCs/>
                <w:sz w:val="24"/>
                <w:szCs w:val="24"/>
                <w:lang w:eastAsia="hr-HR"/>
              </w:rPr>
              <w:t>Program učinkoviti ljudski potencijali 2021. – 2027.</w:t>
            </w:r>
            <w:r w:rsidR="005738C7" w:rsidRPr="001E3D3B">
              <w:rPr>
                <w:bCs/>
                <w:webHidden/>
                <w:sz w:val="24"/>
                <w:szCs w:val="24"/>
              </w:rPr>
              <w:tab/>
            </w:r>
            <w:r w:rsidR="005738C7" w:rsidRPr="001E3D3B">
              <w:rPr>
                <w:bCs/>
                <w:webHidden/>
                <w:sz w:val="24"/>
                <w:szCs w:val="24"/>
              </w:rPr>
              <w:fldChar w:fldCharType="begin"/>
            </w:r>
            <w:r w:rsidR="005738C7" w:rsidRPr="001E3D3B">
              <w:rPr>
                <w:bCs/>
                <w:webHidden/>
                <w:sz w:val="24"/>
                <w:szCs w:val="24"/>
              </w:rPr>
              <w:instrText xml:space="preserve"> PAGEREF _Toc95891869 \h </w:instrText>
            </w:r>
            <w:r w:rsidR="005738C7" w:rsidRPr="001E3D3B">
              <w:rPr>
                <w:bCs/>
                <w:webHidden/>
                <w:sz w:val="24"/>
                <w:szCs w:val="24"/>
              </w:rPr>
            </w:r>
            <w:r w:rsidR="005738C7" w:rsidRPr="001E3D3B">
              <w:rPr>
                <w:bCs/>
                <w:webHidden/>
                <w:sz w:val="24"/>
                <w:szCs w:val="24"/>
              </w:rPr>
              <w:fldChar w:fldCharType="separate"/>
            </w:r>
            <w:r w:rsidR="001E3D3B">
              <w:rPr>
                <w:bCs/>
                <w:webHidden/>
                <w:sz w:val="24"/>
                <w:szCs w:val="24"/>
              </w:rPr>
              <w:t>49</w:t>
            </w:r>
            <w:r w:rsidR="005738C7" w:rsidRPr="001E3D3B">
              <w:rPr>
                <w:bCs/>
                <w:webHidden/>
                <w:sz w:val="24"/>
                <w:szCs w:val="24"/>
              </w:rPr>
              <w:fldChar w:fldCharType="end"/>
            </w:r>
          </w:hyperlink>
        </w:p>
        <w:p w14:paraId="37589C8C" w14:textId="68E8F66B" w:rsidR="005738C7" w:rsidRPr="001E3D3B" w:rsidRDefault="00B45476">
          <w:pPr>
            <w:pStyle w:val="TOC1"/>
            <w:rPr>
              <w:rFonts w:asciiTheme="minorHAnsi" w:hAnsiTheme="minorHAnsi" w:cstheme="minorBidi"/>
              <w:bCs/>
              <w:lang w:eastAsia="hr-HR"/>
            </w:rPr>
          </w:pPr>
          <w:hyperlink w:anchor="_Toc95891870" w:history="1">
            <w:r w:rsidR="005738C7" w:rsidRPr="001E3D3B">
              <w:rPr>
                <w:rStyle w:val="Hyperlink"/>
                <w:rFonts w:eastAsia="Calibri"/>
                <w:bCs/>
              </w:rPr>
              <w:t>6.</w:t>
            </w:r>
            <w:r w:rsidR="005738C7" w:rsidRPr="001E3D3B">
              <w:rPr>
                <w:rFonts w:asciiTheme="minorHAnsi" w:hAnsiTheme="minorHAnsi" w:cstheme="minorBidi"/>
                <w:bCs/>
                <w:lang w:eastAsia="hr-HR"/>
              </w:rPr>
              <w:tab/>
            </w:r>
            <w:r w:rsidR="001E3D3B" w:rsidRPr="001E3D3B">
              <w:rPr>
                <w:rStyle w:val="Hyperlink"/>
                <w:rFonts w:eastAsia="Calibri"/>
                <w:bCs/>
              </w:rPr>
              <w:t>Praćenje i vrednovanje provedbe programa</w:t>
            </w:r>
            <w:r w:rsidR="005738C7" w:rsidRPr="001E3D3B">
              <w:rPr>
                <w:bCs/>
                <w:webHidden/>
              </w:rPr>
              <w:tab/>
            </w:r>
            <w:r w:rsidR="005738C7" w:rsidRPr="001E3D3B">
              <w:rPr>
                <w:bCs/>
                <w:webHidden/>
              </w:rPr>
              <w:fldChar w:fldCharType="begin"/>
            </w:r>
            <w:r w:rsidR="005738C7" w:rsidRPr="001E3D3B">
              <w:rPr>
                <w:bCs/>
                <w:webHidden/>
              </w:rPr>
              <w:instrText xml:space="preserve"> PAGEREF _Toc95891870 \h </w:instrText>
            </w:r>
            <w:r w:rsidR="005738C7" w:rsidRPr="001E3D3B">
              <w:rPr>
                <w:bCs/>
                <w:webHidden/>
              </w:rPr>
            </w:r>
            <w:r w:rsidR="005738C7" w:rsidRPr="001E3D3B">
              <w:rPr>
                <w:bCs/>
                <w:webHidden/>
              </w:rPr>
              <w:fldChar w:fldCharType="separate"/>
            </w:r>
            <w:r w:rsidR="001E3D3B">
              <w:rPr>
                <w:bCs/>
                <w:webHidden/>
              </w:rPr>
              <w:t>50</w:t>
            </w:r>
            <w:r w:rsidR="005738C7" w:rsidRPr="001E3D3B">
              <w:rPr>
                <w:bCs/>
                <w:webHidden/>
              </w:rPr>
              <w:fldChar w:fldCharType="end"/>
            </w:r>
          </w:hyperlink>
        </w:p>
        <w:p w14:paraId="5D7A8139" w14:textId="25B92C48" w:rsidR="005738C7" w:rsidRPr="001E3D3B" w:rsidRDefault="00B45476">
          <w:pPr>
            <w:pStyle w:val="TOC1"/>
            <w:rPr>
              <w:rFonts w:asciiTheme="minorHAnsi" w:hAnsiTheme="minorHAnsi" w:cstheme="minorBidi"/>
              <w:bCs/>
              <w:lang w:eastAsia="hr-HR"/>
            </w:rPr>
          </w:pPr>
          <w:hyperlink w:anchor="_Toc95891871" w:history="1">
            <w:r w:rsidR="005738C7" w:rsidRPr="001E3D3B">
              <w:rPr>
                <w:rStyle w:val="Hyperlink"/>
                <w:bCs/>
              </w:rPr>
              <w:t>7.</w:t>
            </w:r>
            <w:r w:rsidR="005738C7" w:rsidRPr="001E3D3B">
              <w:rPr>
                <w:rFonts w:asciiTheme="minorHAnsi" w:hAnsiTheme="minorHAnsi" w:cstheme="minorBidi"/>
                <w:bCs/>
                <w:lang w:eastAsia="hr-HR"/>
              </w:rPr>
              <w:tab/>
            </w:r>
            <w:r w:rsidR="001E3D3B" w:rsidRPr="001E3D3B">
              <w:rPr>
                <w:rStyle w:val="Hyperlink"/>
                <w:bCs/>
              </w:rPr>
              <w:t>Indikativni financijski plan</w:t>
            </w:r>
            <w:r w:rsidR="005738C7" w:rsidRPr="001E3D3B">
              <w:rPr>
                <w:bCs/>
                <w:webHidden/>
              </w:rPr>
              <w:tab/>
            </w:r>
            <w:r w:rsidR="005738C7" w:rsidRPr="001E3D3B">
              <w:rPr>
                <w:bCs/>
                <w:webHidden/>
              </w:rPr>
              <w:fldChar w:fldCharType="begin"/>
            </w:r>
            <w:r w:rsidR="005738C7" w:rsidRPr="001E3D3B">
              <w:rPr>
                <w:bCs/>
                <w:webHidden/>
              </w:rPr>
              <w:instrText xml:space="preserve"> PAGEREF _Toc95891871 \h </w:instrText>
            </w:r>
            <w:r w:rsidR="005738C7" w:rsidRPr="001E3D3B">
              <w:rPr>
                <w:bCs/>
                <w:webHidden/>
              </w:rPr>
            </w:r>
            <w:r w:rsidR="005738C7" w:rsidRPr="001E3D3B">
              <w:rPr>
                <w:bCs/>
                <w:webHidden/>
              </w:rPr>
              <w:fldChar w:fldCharType="separate"/>
            </w:r>
            <w:r w:rsidR="001E3D3B">
              <w:rPr>
                <w:bCs/>
                <w:webHidden/>
              </w:rPr>
              <w:t>57</w:t>
            </w:r>
            <w:r w:rsidR="005738C7" w:rsidRPr="001E3D3B">
              <w:rPr>
                <w:bCs/>
                <w:webHidden/>
              </w:rPr>
              <w:fldChar w:fldCharType="end"/>
            </w:r>
          </w:hyperlink>
        </w:p>
        <w:p w14:paraId="3FBC43CB" w14:textId="19909134" w:rsidR="005738C7" w:rsidRPr="001E3D3B" w:rsidRDefault="00B45476">
          <w:pPr>
            <w:pStyle w:val="TOC1"/>
            <w:rPr>
              <w:rFonts w:asciiTheme="minorHAnsi" w:hAnsiTheme="minorHAnsi" w:cstheme="minorBidi"/>
              <w:bCs/>
              <w:lang w:eastAsia="hr-HR"/>
            </w:rPr>
          </w:pPr>
          <w:hyperlink w:anchor="_Toc95891872" w:history="1">
            <w:r w:rsidR="005738C7" w:rsidRPr="001E3D3B">
              <w:rPr>
                <w:rStyle w:val="Hyperlink"/>
                <w:rFonts w:eastAsia="Calibri"/>
                <w:bCs/>
              </w:rPr>
              <w:t>8.</w:t>
            </w:r>
            <w:r w:rsidR="005738C7" w:rsidRPr="001E3D3B">
              <w:rPr>
                <w:rFonts w:asciiTheme="minorHAnsi" w:hAnsiTheme="minorHAnsi" w:cstheme="minorBidi"/>
                <w:bCs/>
                <w:lang w:eastAsia="hr-HR"/>
              </w:rPr>
              <w:tab/>
            </w:r>
            <w:r w:rsidR="001E3D3B" w:rsidRPr="001E3D3B">
              <w:rPr>
                <w:rStyle w:val="Hyperlink"/>
                <w:bCs/>
              </w:rPr>
              <w:t>Zaključak</w:t>
            </w:r>
            <w:r w:rsidR="005738C7" w:rsidRPr="001E3D3B">
              <w:rPr>
                <w:bCs/>
                <w:webHidden/>
              </w:rPr>
              <w:tab/>
            </w:r>
            <w:r w:rsidR="005738C7" w:rsidRPr="001E3D3B">
              <w:rPr>
                <w:bCs/>
                <w:webHidden/>
              </w:rPr>
              <w:fldChar w:fldCharType="begin"/>
            </w:r>
            <w:r w:rsidR="005738C7" w:rsidRPr="001E3D3B">
              <w:rPr>
                <w:bCs/>
                <w:webHidden/>
              </w:rPr>
              <w:instrText xml:space="preserve"> PAGEREF _Toc95891872 \h </w:instrText>
            </w:r>
            <w:r w:rsidR="005738C7" w:rsidRPr="001E3D3B">
              <w:rPr>
                <w:bCs/>
                <w:webHidden/>
              </w:rPr>
            </w:r>
            <w:r w:rsidR="005738C7" w:rsidRPr="001E3D3B">
              <w:rPr>
                <w:bCs/>
                <w:webHidden/>
              </w:rPr>
              <w:fldChar w:fldCharType="separate"/>
            </w:r>
            <w:r w:rsidR="001E3D3B">
              <w:rPr>
                <w:bCs/>
                <w:webHidden/>
              </w:rPr>
              <w:t>58</w:t>
            </w:r>
            <w:r w:rsidR="005738C7" w:rsidRPr="001E3D3B">
              <w:rPr>
                <w:bCs/>
                <w:webHidden/>
              </w:rPr>
              <w:fldChar w:fldCharType="end"/>
            </w:r>
          </w:hyperlink>
        </w:p>
        <w:p w14:paraId="0207D037" w14:textId="3481A5A7" w:rsidR="008E2760" w:rsidRPr="001E3D3B" w:rsidRDefault="008E2760" w:rsidP="00B70EE8">
          <w:pPr>
            <w:spacing w:before="0"/>
            <w:rPr>
              <w:rFonts w:ascii="Times New Roman" w:hAnsi="Times New Roman" w:cs="Times New Roman"/>
              <w:bCs/>
              <w:sz w:val="24"/>
              <w:szCs w:val="24"/>
            </w:rPr>
          </w:pPr>
          <w:r w:rsidRPr="001E3D3B">
            <w:rPr>
              <w:rFonts w:ascii="Times New Roman" w:hAnsi="Times New Roman" w:cs="Times New Roman"/>
              <w:bCs/>
              <w:noProof/>
              <w:sz w:val="24"/>
              <w:szCs w:val="24"/>
            </w:rPr>
            <w:fldChar w:fldCharType="end"/>
          </w:r>
        </w:p>
      </w:sdtContent>
    </w:sdt>
    <w:p w14:paraId="00CB8C06" w14:textId="77777777" w:rsidR="008E7387" w:rsidRPr="001E3D3B" w:rsidRDefault="008E7387" w:rsidP="00B70EE8">
      <w:pPr>
        <w:spacing w:before="0" w:after="0"/>
        <w:rPr>
          <w:rFonts w:ascii="Times New Roman" w:hAnsi="Times New Roman" w:cs="Times New Roman"/>
          <w:bCs/>
          <w:sz w:val="24"/>
          <w:szCs w:val="24"/>
        </w:rPr>
      </w:pPr>
    </w:p>
    <w:p w14:paraId="1BC784F2" w14:textId="77777777" w:rsidR="00D60887" w:rsidRPr="001E3D3B" w:rsidRDefault="008E7387" w:rsidP="00B70EE8">
      <w:pPr>
        <w:spacing w:before="0" w:after="0"/>
        <w:rPr>
          <w:rFonts w:ascii="Times New Roman" w:eastAsia="Times New Roman" w:hAnsi="Times New Roman" w:cs="Times New Roman"/>
          <w:bCs/>
          <w:sz w:val="24"/>
          <w:szCs w:val="24"/>
          <w:lang w:eastAsia="hr-HR"/>
        </w:rPr>
      </w:pPr>
      <w:r w:rsidRPr="001E3D3B">
        <w:rPr>
          <w:rFonts w:ascii="Times New Roman" w:eastAsia="Times New Roman" w:hAnsi="Times New Roman" w:cs="Times New Roman"/>
          <w:bCs/>
          <w:sz w:val="24"/>
          <w:szCs w:val="24"/>
          <w:lang w:eastAsia="hr-HR"/>
        </w:rPr>
        <w:t xml:space="preserve"> </w:t>
      </w:r>
    </w:p>
    <w:p w14:paraId="5043FC51" w14:textId="54975C80" w:rsidR="00D60887" w:rsidRDefault="00D60887" w:rsidP="00B70EE8">
      <w:pPr>
        <w:spacing w:before="0" w:after="0"/>
        <w:rPr>
          <w:rFonts w:ascii="Times New Roman" w:eastAsia="Times New Roman" w:hAnsi="Times New Roman" w:cs="Times New Roman"/>
          <w:b/>
          <w:sz w:val="24"/>
          <w:szCs w:val="24"/>
          <w:lang w:eastAsia="hr-HR"/>
        </w:rPr>
      </w:pPr>
    </w:p>
    <w:p w14:paraId="4DC47EAE" w14:textId="063CAD6F" w:rsidR="00B70EE8" w:rsidRDefault="00B70EE8" w:rsidP="00B70EE8">
      <w:pPr>
        <w:spacing w:before="0" w:after="0"/>
        <w:rPr>
          <w:rFonts w:ascii="Times New Roman" w:eastAsia="Times New Roman" w:hAnsi="Times New Roman" w:cs="Times New Roman"/>
          <w:b/>
          <w:sz w:val="24"/>
          <w:szCs w:val="24"/>
          <w:lang w:eastAsia="hr-HR"/>
        </w:rPr>
      </w:pPr>
    </w:p>
    <w:p w14:paraId="60D63518" w14:textId="14BFB549" w:rsidR="00B70EE8" w:rsidRDefault="00B70EE8" w:rsidP="00B70EE8">
      <w:pPr>
        <w:spacing w:before="0" w:after="0"/>
        <w:rPr>
          <w:rFonts w:ascii="Times New Roman" w:eastAsia="Times New Roman" w:hAnsi="Times New Roman" w:cs="Times New Roman"/>
          <w:b/>
          <w:sz w:val="24"/>
          <w:szCs w:val="24"/>
          <w:lang w:eastAsia="hr-HR"/>
        </w:rPr>
      </w:pPr>
    </w:p>
    <w:p w14:paraId="199A63A6" w14:textId="52ED9EA3" w:rsidR="00B70EE8" w:rsidRDefault="00B70EE8" w:rsidP="00B70EE8">
      <w:pPr>
        <w:spacing w:before="0" w:after="0"/>
        <w:rPr>
          <w:rFonts w:ascii="Times New Roman" w:eastAsia="Times New Roman" w:hAnsi="Times New Roman" w:cs="Times New Roman"/>
          <w:b/>
          <w:sz w:val="24"/>
          <w:szCs w:val="24"/>
          <w:lang w:eastAsia="hr-HR"/>
        </w:rPr>
      </w:pPr>
    </w:p>
    <w:p w14:paraId="00EBAA10" w14:textId="6BE7C8EE" w:rsidR="00B70EE8" w:rsidRDefault="00B70EE8" w:rsidP="00B70EE8">
      <w:pPr>
        <w:spacing w:before="0" w:after="0"/>
        <w:rPr>
          <w:rFonts w:ascii="Times New Roman" w:eastAsia="Times New Roman" w:hAnsi="Times New Roman" w:cs="Times New Roman"/>
          <w:b/>
          <w:sz w:val="24"/>
          <w:szCs w:val="24"/>
          <w:lang w:eastAsia="hr-HR"/>
        </w:rPr>
      </w:pPr>
    </w:p>
    <w:p w14:paraId="3614373E" w14:textId="40981061" w:rsidR="00B70EE8" w:rsidRDefault="00B70EE8" w:rsidP="00B70EE8">
      <w:pPr>
        <w:spacing w:before="0" w:after="0"/>
        <w:rPr>
          <w:rFonts w:ascii="Times New Roman" w:eastAsia="Times New Roman" w:hAnsi="Times New Roman" w:cs="Times New Roman"/>
          <w:b/>
          <w:sz w:val="24"/>
          <w:szCs w:val="24"/>
          <w:lang w:eastAsia="hr-HR"/>
        </w:rPr>
      </w:pPr>
    </w:p>
    <w:p w14:paraId="24B91E53" w14:textId="6CCD1BC2" w:rsidR="00B70EE8" w:rsidRDefault="00B70EE8" w:rsidP="00B70EE8">
      <w:pPr>
        <w:spacing w:before="0" w:after="0"/>
        <w:rPr>
          <w:rFonts w:ascii="Times New Roman" w:eastAsia="Times New Roman" w:hAnsi="Times New Roman" w:cs="Times New Roman"/>
          <w:b/>
          <w:sz w:val="24"/>
          <w:szCs w:val="24"/>
          <w:lang w:eastAsia="hr-HR"/>
        </w:rPr>
      </w:pPr>
    </w:p>
    <w:p w14:paraId="13AED7DE" w14:textId="77777777" w:rsidR="00B70EE8" w:rsidRPr="00C0186C" w:rsidRDefault="00B70EE8" w:rsidP="00B70EE8">
      <w:pPr>
        <w:spacing w:before="0" w:after="0"/>
        <w:rPr>
          <w:rFonts w:ascii="Times New Roman" w:eastAsia="Times New Roman" w:hAnsi="Times New Roman" w:cs="Times New Roman"/>
          <w:b/>
          <w:sz w:val="24"/>
          <w:szCs w:val="24"/>
          <w:lang w:eastAsia="hr-HR"/>
        </w:rPr>
      </w:pPr>
    </w:p>
    <w:p w14:paraId="5B339643" w14:textId="77777777" w:rsidR="008E7387" w:rsidRPr="00C0186C" w:rsidRDefault="008E7387" w:rsidP="00B70EE8">
      <w:pPr>
        <w:spacing w:before="0" w:after="0"/>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 xml:space="preserve">        </w:t>
      </w:r>
    </w:p>
    <w:p w14:paraId="7818BB3A" w14:textId="77777777" w:rsidR="00916BA0" w:rsidRPr="00C0186C" w:rsidRDefault="00916BA0" w:rsidP="00B70EE8">
      <w:pPr>
        <w:spacing w:before="0" w:after="0"/>
        <w:rPr>
          <w:rFonts w:ascii="Times New Roman" w:eastAsia="Times New Roman" w:hAnsi="Times New Roman" w:cs="Times New Roman"/>
          <w:b/>
          <w:sz w:val="24"/>
          <w:szCs w:val="24"/>
          <w:lang w:eastAsia="hr-HR"/>
        </w:rPr>
        <w:sectPr w:rsidR="00916BA0" w:rsidRPr="00C0186C" w:rsidSect="001337F7">
          <w:pgSz w:w="11906" w:h="16838"/>
          <w:pgMar w:top="1417" w:right="1417" w:bottom="1417" w:left="1417" w:header="708" w:footer="708" w:gutter="0"/>
          <w:cols w:space="708"/>
          <w:titlePg/>
          <w:docGrid w:linePitch="360"/>
        </w:sectPr>
      </w:pPr>
    </w:p>
    <w:p w14:paraId="67D39A0D" w14:textId="5E613A20" w:rsidR="008E7387" w:rsidRPr="00C0186C" w:rsidRDefault="00C0186C" w:rsidP="00CA63B9">
      <w:pPr>
        <w:pStyle w:val="Heading1"/>
        <w:numPr>
          <w:ilvl w:val="0"/>
          <w:numId w:val="42"/>
        </w:numPr>
        <w:shd w:val="clear" w:color="auto" w:fill="DEEAF6" w:themeFill="accent1" w:themeFillTint="33"/>
        <w:tabs>
          <w:tab w:val="left" w:pos="426"/>
        </w:tabs>
        <w:spacing w:before="0"/>
        <w:ind w:left="0" w:firstLine="0"/>
        <w:rPr>
          <w:rFonts w:ascii="Times New Roman" w:hAnsi="Times New Roman" w:cs="Times New Roman"/>
          <w:b/>
          <w:bCs/>
          <w:color w:val="auto"/>
          <w:sz w:val="28"/>
          <w:szCs w:val="28"/>
        </w:rPr>
      </w:pPr>
      <w:bookmarkStart w:id="1" w:name="_Toc77600162"/>
      <w:bookmarkStart w:id="2" w:name="_Toc87870224"/>
      <w:bookmarkStart w:id="3" w:name="_Toc95891852"/>
      <w:bookmarkStart w:id="4" w:name="_Hlk89090889"/>
      <w:r w:rsidRPr="00C0186C">
        <w:rPr>
          <w:rFonts w:ascii="Times New Roman" w:hAnsi="Times New Roman" w:cs="Times New Roman"/>
          <w:b/>
          <w:bCs/>
          <w:color w:val="auto"/>
          <w:sz w:val="28"/>
          <w:szCs w:val="28"/>
        </w:rPr>
        <w:t>UVOD</w:t>
      </w:r>
      <w:bookmarkEnd w:id="1"/>
      <w:bookmarkEnd w:id="2"/>
      <w:bookmarkEnd w:id="3"/>
    </w:p>
    <w:bookmarkEnd w:id="4"/>
    <w:p w14:paraId="3BC9D9D6" w14:textId="77777777" w:rsidR="00067AB2" w:rsidRPr="00C0186C" w:rsidRDefault="00067AB2" w:rsidP="00B70EE8">
      <w:pPr>
        <w:spacing w:before="0" w:after="0"/>
        <w:jc w:val="both"/>
        <w:rPr>
          <w:rFonts w:ascii="Times New Roman" w:hAnsi="Times New Roman" w:cs="Times New Roman"/>
          <w:b/>
          <w:bCs/>
          <w:sz w:val="24"/>
          <w:szCs w:val="24"/>
        </w:rPr>
      </w:pPr>
    </w:p>
    <w:p w14:paraId="49B6BCE9" w14:textId="2A3F48C0" w:rsidR="00716AA5" w:rsidRDefault="00CE7307" w:rsidP="00B70EE8">
      <w:pPr>
        <w:spacing w:before="0" w:after="0"/>
        <w:jc w:val="both"/>
        <w:rPr>
          <w:rFonts w:ascii="Times New Roman" w:hAnsi="Times New Roman" w:cs="Times New Roman"/>
          <w:bCs/>
          <w:sz w:val="24"/>
          <w:szCs w:val="24"/>
        </w:rPr>
      </w:pPr>
      <w:r w:rsidRPr="00C0186C">
        <w:rPr>
          <w:rFonts w:ascii="Times New Roman" w:hAnsi="Times New Roman" w:cs="Times New Roman"/>
          <w:sz w:val="24"/>
          <w:szCs w:val="24"/>
        </w:rPr>
        <w:t>Ministarstv</w:t>
      </w:r>
      <w:r w:rsidR="000B5C07" w:rsidRPr="00C0186C">
        <w:rPr>
          <w:rFonts w:ascii="Times New Roman" w:hAnsi="Times New Roman" w:cs="Times New Roman"/>
          <w:sz w:val="24"/>
          <w:szCs w:val="24"/>
        </w:rPr>
        <w:t>o</w:t>
      </w:r>
      <w:r w:rsidRPr="00C0186C">
        <w:rPr>
          <w:rFonts w:ascii="Times New Roman" w:hAnsi="Times New Roman" w:cs="Times New Roman"/>
          <w:sz w:val="24"/>
          <w:szCs w:val="24"/>
        </w:rPr>
        <w:t xml:space="preserve"> regionalnog</w:t>
      </w:r>
      <w:r w:rsidR="005F5818" w:rsidRPr="00C0186C">
        <w:rPr>
          <w:rFonts w:ascii="Times New Roman" w:hAnsi="Times New Roman" w:cs="Times New Roman"/>
          <w:sz w:val="24"/>
          <w:szCs w:val="24"/>
        </w:rPr>
        <w:t>a</w:t>
      </w:r>
      <w:r w:rsidRPr="00C0186C">
        <w:rPr>
          <w:rFonts w:ascii="Times New Roman" w:hAnsi="Times New Roman" w:cs="Times New Roman"/>
          <w:sz w:val="24"/>
          <w:szCs w:val="24"/>
        </w:rPr>
        <w:t xml:space="preserve"> razvoja i fondova Europske unije </w:t>
      </w:r>
      <w:r w:rsidRPr="00C0186C">
        <w:rPr>
          <w:rFonts w:ascii="Times New Roman" w:hAnsi="Times New Roman" w:cs="Times New Roman"/>
          <w:bCs/>
          <w:sz w:val="24"/>
          <w:szCs w:val="24"/>
        </w:rPr>
        <w:t xml:space="preserve">(u daljnjem tekstu: MRRFEU) </w:t>
      </w:r>
      <w:r w:rsidRPr="00C0186C">
        <w:rPr>
          <w:rFonts w:ascii="Times New Roman" w:hAnsi="Times New Roman" w:cs="Times New Roman"/>
          <w:sz w:val="24"/>
          <w:szCs w:val="24"/>
        </w:rPr>
        <w:t xml:space="preserve">nositelj je upravljanja razvojem potpomognutih područja, definiranih </w:t>
      </w:r>
      <w:r w:rsidRPr="00C0186C">
        <w:rPr>
          <w:rFonts w:ascii="Times New Roman" w:hAnsi="Times New Roman" w:cs="Times New Roman"/>
          <w:i/>
          <w:sz w:val="24"/>
          <w:szCs w:val="24"/>
        </w:rPr>
        <w:t xml:space="preserve">Zakonom o regionalnom razvoju Republike Hrvatske </w:t>
      </w:r>
      <w:bookmarkStart w:id="5" w:name="_Hlk85624796"/>
      <w:r w:rsidRPr="00C0186C">
        <w:rPr>
          <w:rFonts w:ascii="Times New Roman" w:hAnsi="Times New Roman" w:cs="Times New Roman"/>
          <w:i/>
          <w:sz w:val="24"/>
          <w:szCs w:val="24"/>
        </w:rPr>
        <w:t xml:space="preserve">(„Narodne novine“, br. </w:t>
      </w:r>
      <w:bookmarkEnd w:id="5"/>
      <w:r w:rsidRPr="00C0186C">
        <w:rPr>
          <w:rFonts w:ascii="Times New Roman" w:hAnsi="Times New Roman" w:cs="Times New Roman"/>
          <w:i/>
          <w:sz w:val="24"/>
          <w:szCs w:val="24"/>
        </w:rPr>
        <w:t>147/14, 123/17 i 118/18)</w:t>
      </w:r>
      <w:r w:rsidRPr="00C0186C">
        <w:rPr>
          <w:rFonts w:ascii="Times New Roman" w:hAnsi="Times New Roman" w:cs="Times New Roman"/>
          <w:sz w:val="24"/>
          <w:szCs w:val="24"/>
        </w:rPr>
        <w:t xml:space="preserve"> kao područja koja prema stupnju razvijenosti zaostaju za nacionalnim prosjekom i čiji je razvoj potrebno dodatno poticati</w:t>
      </w:r>
      <w:r w:rsidRPr="00C0186C">
        <w:rPr>
          <w:rFonts w:ascii="Times New Roman" w:hAnsi="Times New Roman" w:cs="Times New Roman"/>
          <w:bCs/>
          <w:sz w:val="24"/>
          <w:szCs w:val="24"/>
        </w:rPr>
        <w:t xml:space="preserve">. </w:t>
      </w:r>
      <w:r w:rsidR="00EA2BC2" w:rsidRPr="00C0186C">
        <w:rPr>
          <w:rFonts w:ascii="Times New Roman" w:hAnsi="Times New Roman" w:cs="Times New Roman"/>
          <w:bCs/>
          <w:sz w:val="24"/>
          <w:szCs w:val="24"/>
        </w:rPr>
        <w:t xml:space="preserve">Sukladno Zakonu o sustavu strateškog planiranja i upravljanja razvojem Republike Hrvatske </w:t>
      </w:r>
      <w:bookmarkStart w:id="6" w:name="_Hlk85624909"/>
      <w:r w:rsidR="00EA2BC2" w:rsidRPr="00C0186C">
        <w:rPr>
          <w:rFonts w:ascii="Times New Roman" w:hAnsi="Times New Roman" w:cs="Times New Roman"/>
          <w:bCs/>
          <w:i/>
          <w:iCs/>
          <w:sz w:val="24"/>
          <w:szCs w:val="24"/>
        </w:rPr>
        <w:t>(</w:t>
      </w:r>
      <w:r w:rsidR="00B164C2" w:rsidRPr="00C0186C">
        <w:rPr>
          <w:rFonts w:ascii="Times New Roman" w:hAnsi="Times New Roman" w:cs="Times New Roman"/>
          <w:bCs/>
          <w:i/>
          <w:iCs/>
          <w:sz w:val="24"/>
          <w:szCs w:val="24"/>
        </w:rPr>
        <w:t xml:space="preserve">„Narodne novine“, br. </w:t>
      </w:r>
      <w:bookmarkEnd w:id="6"/>
      <w:r w:rsidR="00EA2BC2" w:rsidRPr="00C0186C">
        <w:rPr>
          <w:rFonts w:ascii="Times New Roman" w:hAnsi="Times New Roman" w:cs="Times New Roman"/>
          <w:bCs/>
          <w:i/>
          <w:iCs/>
          <w:sz w:val="24"/>
          <w:szCs w:val="24"/>
        </w:rPr>
        <w:t>123/17)</w:t>
      </w:r>
      <w:r w:rsidR="00EA2BC2" w:rsidRPr="00C0186C">
        <w:rPr>
          <w:rFonts w:ascii="Times New Roman" w:hAnsi="Times New Roman" w:cs="Times New Roman"/>
          <w:bCs/>
          <w:sz w:val="24"/>
          <w:szCs w:val="24"/>
        </w:rPr>
        <w:t xml:space="preserve">, aktivnosti upravljanja potpomognutim područjima izvršavaju se temeljem provedbenog programa MRRFEU-a koji mora biti usklađen s aktima strateškog planiranja više hijerarhijske razine, ali i komplementaran aktima iste hijerarhijske razine (poglavlje 2 i 4). Stoga je Zakonom o potpomognutim područjima </w:t>
      </w:r>
      <w:r w:rsidR="00B164C2" w:rsidRPr="00C0186C">
        <w:rPr>
          <w:rFonts w:ascii="Times New Roman" w:hAnsi="Times New Roman" w:cs="Times New Roman"/>
          <w:bCs/>
          <w:i/>
          <w:iCs/>
          <w:sz w:val="24"/>
          <w:szCs w:val="24"/>
        </w:rPr>
        <w:t xml:space="preserve">(„Narodne novine“, br. </w:t>
      </w:r>
      <w:r w:rsidR="00EA2BC2" w:rsidRPr="00C0186C">
        <w:rPr>
          <w:rFonts w:ascii="Times New Roman" w:hAnsi="Times New Roman" w:cs="Times New Roman"/>
          <w:bCs/>
          <w:i/>
          <w:iCs/>
          <w:sz w:val="24"/>
          <w:szCs w:val="24"/>
        </w:rPr>
        <w:t>118/18</w:t>
      </w:r>
      <w:r w:rsidR="00EA2BC2" w:rsidRPr="00C0186C">
        <w:rPr>
          <w:rFonts w:ascii="Times New Roman" w:hAnsi="Times New Roman" w:cs="Times New Roman"/>
          <w:bCs/>
          <w:sz w:val="24"/>
          <w:szCs w:val="24"/>
        </w:rPr>
        <w:t>, u daljnjem tekstu: Zakon) određena obveza izrade Programa održivog društvenog i gospodarskog razvoja potpomognutih područja kojim se utvrđ</w:t>
      </w:r>
      <w:r w:rsidR="00CC53DA" w:rsidRPr="00C0186C">
        <w:rPr>
          <w:rFonts w:ascii="Times New Roman" w:hAnsi="Times New Roman" w:cs="Times New Roman"/>
          <w:bCs/>
          <w:sz w:val="24"/>
          <w:szCs w:val="24"/>
        </w:rPr>
        <w:t>uju odgovarajuće mjere i projek</w:t>
      </w:r>
      <w:r w:rsidR="00EA2BC2" w:rsidRPr="00C0186C">
        <w:rPr>
          <w:rFonts w:ascii="Times New Roman" w:hAnsi="Times New Roman" w:cs="Times New Roman"/>
          <w:bCs/>
          <w:sz w:val="24"/>
          <w:szCs w:val="24"/>
        </w:rPr>
        <w:t xml:space="preserve">ti usmjereni na poticanje razvoja potpomognutih područja. </w:t>
      </w:r>
      <w:r w:rsidR="00B12213" w:rsidRPr="00C0186C">
        <w:rPr>
          <w:rFonts w:ascii="Times New Roman" w:hAnsi="Times New Roman" w:cs="Times New Roman"/>
          <w:bCs/>
          <w:sz w:val="24"/>
          <w:szCs w:val="24"/>
        </w:rPr>
        <w:t>Sukladno</w:t>
      </w:r>
      <w:r w:rsidR="00716AA5" w:rsidRPr="00C0186C">
        <w:rPr>
          <w:rFonts w:ascii="Times New Roman" w:hAnsi="Times New Roman" w:cs="Times New Roman"/>
          <w:bCs/>
          <w:sz w:val="24"/>
          <w:szCs w:val="24"/>
        </w:rPr>
        <w:t xml:space="preserve"> Zakon</w:t>
      </w:r>
      <w:r w:rsidR="001E5E21">
        <w:rPr>
          <w:rFonts w:ascii="Times New Roman" w:hAnsi="Times New Roman" w:cs="Times New Roman"/>
          <w:bCs/>
          <w:sz w:val="24"/>
          <w:szCs w:val="24"/>
        </w:rPr>
        <w:t>u</w:t>
      </w:r>
      <w:r w:rsidR="00716AA5" w:rsidRPr="00C0186C">
        <w:rPr>
          <w:rFonts w:ascii="Times New Roman" w:hAnsi="Times New Roman" w:cs="Times New Roman"/>
          <w:bCs/>
          <w:sz w:val="24"/>
          <w:szCs w:val="24"/>
        </w:rPr>
        <w:t xml:space="preserve"> </w:t>
      </w:r>
      <w:r w:rsidR="0050152E" w:rsidRPr="00C0186C">
        <w:rPr>
          <w:rFonts w:ascii="Times New Roman" w:hAnsi="Times New Roman" w:cs="Times New Roman"/>
          <w:bCs/>
          <w:sz w:val="24"/>
          <w:szCs w:val="24"/>
        </w:rPr>
        <w:t xml:space="preserve">o potpomognutim područjima, </w:t>
      </w:r>
      <w:r w:rsidR="00716AA5" w:rsidRPr="00C0186C">
        <w:rPr>
          <w:rFonts w:ascii="Times New Roman" w:hAnsi="Times New Roman" w:cs="Times New Roman"/>
          <w:bCs/>
          <w:sz w:val="24"/>
          <w:szCs w:val="24"/>
        </w:rPr>
        <w:t>Vlada Republike Hrvatske, na prijedlog Ministarstva, donosi Program na razdoblje od četiri godine.</w:t>
      </w:r>
      <w:r w:rsidR="0050152E" w:rsidRPr="00C0186C">
        <w:rPr>
          <w:rFonts w:ascii="Times New Roman" w:hAnsi="Times New Roman" w:cs="Times New Roman"/>
          <w:bCs/>
          <w:sz w:val="24"/>
          <w:szCs w:val="24"/>
        </w:rPr>
        <w:t xml:space="preserve"> Na t</w:t>
      </w:r>
      <w:r w:rsidR="00716AA5" w:rsidRPr="00C0186C">
        <w:rPr>
          <w:rFonts w:ascii="Times New Roman" w:hAnsi="Times New Roman" w:cs="Times New Roman"/>
          <w:bCs/>
          <w:sz w:val="24"/>
          <w:szCs w:val="24"/>
        </w:rPr>
        <w:t>emelj</w:t>
      </w:r>
      <w:r w:rsidR="0050152E" w:rsidRPr="00C0186C">
        <w:rPr>
          <w:rFonts w:ascii="Times New Roman" w:hAnsi="Times New Roman" w:cs="Times New Roman"/>
          <w:bCs/>
          <w:sz w:val="24"/>
          <w:szCs w:val="24"/>
        </w:rPr>
        <w:t>u</w:t>
      </w:r>
      <w:r w:rsidR="00716AA5" w:rsidRPr="00C0186C">
        <w:rPr>
          <w:rFonts w:ascii="Times New Roman" w:hAnsi="Times New Roman" w:cs="Times New Roman"/>
          <w:bCs/>
          <w:sz w:val="24"/>
          <w:szCs w:val="24"/>
        </w:rPr>
        <w:t xml:space="preserve"> Programa, MRRFEU kao nositelj upravljanja razvojem potpomognutih područja, </w:t>
      </w:r>
      <w:r w:rsidR="0050152E" w:rsidRPr="00C0186C">
        <w:rPr>
          <w:rFonts w:ascii="Times New Roman" w:hAnsi="Times New Roman" w:cs="Times New Roman"/>
          <w:bCs/>
          <w:sz w:val="24"/>
          <w:szCs w:val="24"/>
        </w:rPr>
        <w:t>dužno je donijeti</w:t>
      </w:r>
      <w:r w:rsidR="00716AA5" w:rsidRPr="00C0186C">
        <w:rPr>
          <w:rFonts w:ascii="Times New Roman" w:hAnsi="Times New Roman" w:cs="Times New Roman"/>
          <w:bCs/>
          <w:sz w:val="24"/>
          <w:szCs w:val="24"/>
        </w:rPr>
        <w:t xml:space="preserve"> Godišnji plan provedbe Programa</w:t>
      </w:r>
      <w:r w:rsidR="00AF63BB" w:rsidRPr="00C0186C">
        <w:rPr>
          <w:rFonts w:ascii="Times New Roman" w:hAnsi="Times New Roman" w:cs="Times New Roman"/>
          <w:bCs/>
          <w:sz w:val="24"/>
          <w:szCs w:val="24"/>
        </w:rPr>
        <w:t xml:space="preserve"> koji će sadržavati </w:t>
      </w:r>
      <w:r w:rsidR="00716AA5" w:rsidRPr="00C0186C">
        <w:rPr>
          <w:rFonts w:ascii="Times New Roman" w:hAnsi="Times New Roman" w:cs="Times New Roman"/>
          <w:bCs/>
          <w:sz w:val="24"/>
          <w:szCs w:val="24"/>
        </w:rPr>
        <w:t>plan provedbe pojedinih poticajnih mjera, aktivnosti, potrebna sredstva, izvore i način korištenja sredstava te metodologiju praćenja i izvještavanja</w:t>
      </w:r>
      <w:r w:rsidR="0050152E" w:rsidRPr="00C0186C">
        <w:rPr>
          <w:rFonts w:ascii="Times New Roman" w:hAnsi="Times New Roman" w:cs="Times New Roman"/>
          <w:bCs/>
          <w:sz w:val="24"/>
          <w:szCs w:val="24"/>
        </w:rPr>
        <w:t xml:space="preserve"> realizacije Programa</w:t>
      </w:r>
      <w:r w:rsidR="00716AA5" w:rsidRPr="00C0186C">
        <w:rPr>
          <w:rFonts w:ascii="Times New Roman" w:hAnsi="Times New Roman" w:cs="Times New Roman"/>
          <w:bCs/>
          <w:sz w:val="24"/>
          <w:szCs w:val="24"/>
        </w:rPr>
        <w:t xml:space="preserve">. </w:t>
      </w:r>
    </w:p>
    <w:p w14:paraId="58167FC9" w14:textId="77777777" w:rsidR="0011442F" w:rsidRPr="00C0186C" w:rsidRDefault="0011442F" w:rsidP="00B70EE8">
      <w:pPr>
        <w:spacing w:before="0" w:after="0"/>
        <w:jc w:val="both"/>
        <w:rPr>
          <w:rFonts w:ascii="Times New Roman" w:hAnsi="Times New Roman" w:cs="Times New Roman"/>
          <w:iCs/>
          <w:sz w:val="24"/>
          <w:szCs w:val="24"/>
        </w:rPr>
      </w:pPr>
    </w:p>
    <w:p w14:paraId="027A0C24" w14:textId="2FF31591" w:rsidR="00C63A2A" w:rsidRPr="00C0186C" w:rsidRDefault="00716AA5" w:rsidP="00B70EE8">
      <w:pPr>
        <w:spacing w:before="0" w:after="0"/>
        <w:jc w:val="both"/>
        <w:rPr>
          <w:rFonts w:ascii="Times New Roman" w:hAnsi="Times New Roman" w:cs="Times New Roman"/>
          <w:bCs/>
          <w:sz w:val="24"/>
          <w:szCs w:val="24"/>
        </w:rPr>
      </w:pPr>
      <w:r w:rsidRPr="00C0186C">
        <w:rPr>
          <w:rFonts w:ascii="Times New Roman" w:hAnsi="Times New Roman" w:cs="Times New Roman"/>
          <w:bCs/>
          <w:sz w:val="24"/>
          <w:szCs w:val="24"/>
        </w:rPr>
        <w:t xml:space="preserve">Na osnovu navedene zakonske obveze, </w:t>
      </w:r>
      <w:r w:rsidR="00B77C21" w:rsidRPr="00C0186C">
        <w:rPr>
          <w:rFonts w:ascii="Times New Roman" w:hAnsi="Times New Roman" w:cs="Times New Roman"/>
          <w:bCs/>
          <w:sz w:val="24"/>
          <w:szCs w:val="24"/>
        </w:rPr>
        <w:t>MRRFEU</w:t>
      </w:r>
      <w:r w:rsidRPr="00C0186C">
        <w:rPr>
          <w:rFonts w:ascii="Times New Roman" w:hAnsi="Times New Roman" w:cs="Times New Roman"/>
          <w:bCs/>
          <w:sz w:val="24"/>
          <w:szCs w:val="24"/>
        </w:rPr>
        <w:t xml:space="preserve"> pristupilo je izradi Programa održivog društvenog i gospodarskog razvoja potpomognutih</w:t>
      </w:r>
      <w:r w:rsidR="00B77C21" w:rsidRPr="00C0186C">
        <w:rPr>
          <w:rFonts w:ascii="Times New Roman" w:hAnsi="Times New Roman" w:cs="Times New Roman"/>
          <w:bCs/>
          <w:sz w:val="24"/>
          <w:szCs w:val="24"/>
        </w:rPr>
        <w:t xml:space="preserve"> </w:t>
      </w:r>
      <w:r w:rsidRPr="00C0186C">
        <w:rPr>
          <w:rFonts w:ascii="Times New Roman" w:hAnsi="Times New Roman" w:cs="Times New Roman"/>
          <w:bCs/>
          <w:sz w:val="24"/>
          <w:szCs w:val="24"/>
        </w:rPr>
        <w:t>područja. Svrha izrade Programa je kreiranje višegodišnjeg programskog okvira za djelovanje MRRFEU</w:t>
      </w:r>
      <w:r w:rsidR="00B164C2" w:rsidRPr="00C0186C">
        <w:rPr>
          <w:rFonts w:ascii="Times New Roman" w:hAnsi="Times New Roman" w:cs="Times New Roman"/>
          <w:bCs/>
          <w:sz w:val="24"/>
          <w:szCs w:val="24"/>
        </w:rPr>
        <w:t>-a</w:t>
      </w:r>
      <w:r w:rsidRPr="00C0186C">
        <w:rPr>
          <w:rFonts w:ascii="Times New Roman" w:hAnsi="Times New Roman" w:cs="Times New Roman"/>
          <w:bCs/>
          <w:sz w:val="24"/>
          <w:szCs w:val="24"/>
        </w:rPr>
        <w:t xml:space="preserve"> i svih ključnih dionika za razvoj potpomognutih područja u cilju doprinosa razvoju potpomognutih područja na prostoru Republike Hrvatske. </w:t>
      </w:r>
      <w:r w:rsidR="00C63A2A" w:rsidRPr="00C0186C">
        <w:rPr>
          <w:rFonts w:ascii="Times New Roman" w:hAnsi="Times New Roman" w:cs="Times New Roman"/>
          <w:bCs/>
          <w:sz w:val="24"/>
          <w:szCs w:val="24"/>
        </w:rPr>
        <w:t xml:space="preserve">Osnovni je cilj Programa utvrditi poticajne mjere razvoja </w:t>
      </w:r>
      <w:r w:rsidRPr="00C0186C">
        <w:rPr>
          <w:rFonts w:ascii="Times New Roman" w:hAnsi="Times New Roman" w:cs="Times New Roman"/>
          <w:bCs/>
          <w:sz w:val="24"/>
          <w:szCs w:val="24"/>
        </w:rPr>
        <w:t xml:space="preserve">potpomognutih </w:t>
      </w:r>
      <w:r w:rsidR="00C63A2A" w:rsidRPr="00C0186C">
        <w:rPr>
          <w:rFonts w:ascii="Times New Roman" w:hAnsi="Times New Roman" w:cs="Times New Roman"/>
          <w:bCs/>
          <w:sz w:val="24"/>
          <w:szCs w:val="24"/>
        </w:rPr>
        <w:t xml:space="preserve"> područja Republike Hrvatske, za razdoblje 20</w:t>
      </w:r>
      <w:r w:rsidR="002C1F01" w:rsidRPr="00C0186C">
        <w:rPr>
          <w:rFonts w:ascii="Times New Roman" w:hAnsi="Times New Roman" w:cs="Times New Roman"/>
          <w:bCs/>
          <w:sz w:val="24"/>
          <w:szCs w:val="24"/>
        </w:rPr>
        <w:t>2</w:t>
      </w:r>
      <w:r w:rsidR="00A759C0">
        <w:rPr>
          <w:rFonts w:ascii="Times New Roman" w:hAnsi="Times New Roman" w:cs="Times New Roman"/>
          <w:bCs/>
          <w:sz w:val="24"/>
          <w:szCs w:val="24"/>
        </w:rPr>
        <w:t>2</w:t>
      </w:r>
      <w:r w:rsidR="00C63A2A" w:rsidRPr="00C0186C">
        <w:rPr>
          <w:rFonts w:ascii="Times New Roman" w:hAnsi="Times New Roman" w:cs="Times New Roman"/>
          <w:bCs/>
          <w:sz w:val="24"/>
          <w:szCs w:val="24"/>
        </w:rPr>
        <w:t>.-202</w:t>
      </w:r>
      <w:r w:rsidR="00A759C0">
        <w:rPr>
          <w:rFonts w:ascii="Times New Roman" w:hAnsi="Times New Roman" w:cs="Times New Roman"/>
          <w:bCs/>
          <w:sz w:val="24"/>
          <w:szCs w:val="24"/>
        </w:rPr>
        <w:t>5</w:t>
      </w:r>
      <w:r w:rsidR="00C63A2A" w:rsidRPr="00C0186C">
        <w:rPr>
          <w:rFonts w:ascii="Times New Roman" w:hAnsi="Times New Roman" w:cs="Times New Roman"/>
          <w:bCs/>
          <w:sz w:val="24"/>
          <w:szCs w:val="24"/>
        </w:rPr>
        <w:t>. godine, a čiji će nositelj biti MRRFEU i druga tijela državne uprave.</w:t>
      </w:r>
    </w:p>
    <w:p w14:paraId="1F307E39" w14:textId="77777777" w:rsidR="00C63A2A" w:rsidRPr="00C0186C" w:rsidRDefault="00C63A2A" w:rsidP="00B70EE8">
      <w:pPr>
        <w:spacing w:before="0" w:after="0"/>
        <w:jc w:val="both"/>
        <w:rPr>
          <w:rFonts w:ascii="Times New Roman" w:hAnsi="Times New Roman" w:cs="Times New Roman"/>
          <w:bCs/>
          <w:sz w:val="24"/>
          <w:szCs w:val="24"/>
        </w:rPr>
      </w:pPr>
    </w:p>
    <w:p w14:paraId="22670C94" w14:textId="0D5DF465" w:rsidR="008E7387" w:rsidRPr="00C0186C" w:rsidRDefault="008E7387" w:rsidP="00CA63B9">
      <w:pPr>
        <w:pStyle w:val="Heading2"/>
        <w:numPr>
          <w:ilvl w:val="1"/>
          <w:numId w:val="42"/>
        </w:numPr>
        <w:spacing w:before="0"/>
        <w:ind w:left="709" w:hanging="709"/>
        <w:rPr>
          <w:rFonts w:ascii="Times New Roman" w:hAnsi="Times New Roman" w:cs="Times New Roman"/>
          <w:b/>
          <w:bCs/>
          <w:sz w:val="24"/>
          <w:szCs w:val="24"/>
        </w:rPr>
      </w:pPr>
      <w:bookmarkStart w:id="7" w:name="_Toc95891853"/>
      <w:r w:rsidRPr="00C0186C">
        <w:rPr>
          <w:rFonts w:ascii="Times New Roman" w:hAnsi="Times New Roman" w:cs="Times New Roman"/>
          <w:b/>
          <w:bCs/>
          <w:sz w:val="24"/>
          <w:szCs w:val="24"/>
        </w:rPr>
        <w:t xml:space="preserve">SADRŽAJ </w:t>
      </w:r>
      <w:r w:rsidR="00FF298F" w:rsidRPr="00C0186C">
        <w:rPr>
          <w:rFonts w:ascii="Times New Roman" w:hAnsi="Times New Roman" w:cs="Times New Roman"/>
          <w:b/>
          <w:bCs/>
          <w:sz w:val="24"/>
          <w:szCs w:val="24"/>
        </w:rPr>
        <w:t>PROGRAMA</w:t>
      </w:r>
      <w:bookmarkEnd w:id="7"/>
    </w:p>
    <w:p w14:paraId="665A5943" w14:textId="77777777" w:rsidR="008E7387" w:rsidRPr="00C0186C" w:rsidRDefault="008E7387" w:rsidP="00B70EE8">
      <w:pPr>
        <w:spacing w:before="0" w:after="0"/>
        <w:jc w:val="both"/>
        <w:rPr>
          <w:rFonts w:ascii="Times New Roman" w:hAnsi="Times New Roman" w:cs="Times New Roman"/>
          <w:sz w:val="24"/>
          <w:szCs w:val="24"/>
        </w:rPr>
      </w:pPr>
    </w:p>
    <w:p w14:paraId="331F54D4" w14:textId="67568930" w:rsidR="00E344E8" w:rsidRDefault="00E344E8"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S obzirom na prethodno iznesena zakonska polazišta te definiranu svrhu i cilj izrade Programa, u nastavku je razrađena struktura sadržaja Programa.</w:t>
      </w:r>
    </w:p>
    <w:p w14:paraId="7DD9E135" w14:textId="77777777" w:rsidR="0011442F" w:rsidRPr="00C0186C" w:rsidRDefault="0011442F" w:rsidP="00B70EE8">
      <w:pPr>
        <w:spacing w:before="0" w:after="0"/>
        <w:jc w:val="both"/>
        <w:rPr>
          <w:rFonts w:ascii="Times New Roman" w:hAnsi="Times New Roman" w:cs="Times New Roman"/>
          <w:sz w:val="24"/>
          <w:szCs w:val="24"/>
        </w:rPr>
      </w:pPr>
    </w:p>
    <w:p w14:paraId="096009A6" w14:textId="14DEC353" w:rsidR="005B6C9C" w:rsidRDefault="00867087"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 xml:space="preserve">Budući da </w:t>
      </w:r>
      <w:r w:rsidR="005B6C9C" w:rsidRPr="00C0186C">
        <w:rPr>
          <w:rFonts w:ascii="Times New Roman" w:hAnsi="Times New Roman" w:cs="Times New Roman"/>
          <w:sz w:val="24"/>
          <w:szCs w:val="24"/>
        </w:rPr>
        <w:t>poticajne mjere koje će se Programom definirati trebaju biti povezane sa postojećim strateškim i zakonodavnim okvirom u području regionalnog razvoja i regionalne politike R</w:t>
      </w:r>
      <w:r w:rsidR="00CC53DA" w:rsidRPr="00C0186C">
        <w:rPr>
          <w:rFonts w:ascii="Times New Roman" w:hAnsi="Times New Roman" w:cs="Times New Roman"/>
          <w:sz w:val="24"/>
          <w:szCs w:val="24"/>
        </w:rPr>
        <w:t xml:space="preserve">epublike </w:t>
      </w:r>
      <w:r w:rsidR="005B6C9C" w:rsidRPr="00C0186C">
        <w:rPr>
          <w:rFonts w:ascii="Times New Roman" w:hAnsi="Times New Roman" w:cs="Times New Roman"/>
          <w:sz w:val="24"/>
          <w:szCs w:val="24"/>
        </w:rPr>
        <w:t>H</w:t>
      </w:r>
      <w:r w:rsidR="00CC53DA" w:rsidRPr="00C0186C">
        <w:rPr>
          <w:rFonts w:ascii="Times New Roman" w:hAnsi="Times New Roman" w:cs="Times New Roman"/>
          <w:sz w:val="24"/>
          <w:szCs w:val="24"/>
        </w:rPr>
        <w:t>rvatske</w:t>
      </w:r>
      <w:r w:rsidR="005B6C9C" w:rsidRPr="00C0186C">
        <w:rPr>
          <w:rFonts w:ascii="Times New Roman" w:hAnsi="Times New Roman" w:cs="Times New Roman"/>
          <w:sz w:val="24"/>
          <w:szCs w:val="24"/>
        </w:rPr>
        <w:t>, kao i drugim relevantnim područjima, u okviru drugog poglavlja sažeto su prikazana strateška polazišta važna za izradu Programa.</w:t>
      </w:r>
    </w:p>
    <w:p w14:paraId="147AB2CA" w14:textId="77777777" w:rsidR="0011442F" w:rsidRPr="00C0186C" w:rsidRDefault="0011442F" w:rsidP="00B70EE8">
      <w:pPr>
        <w:spacing w:before="0" w:after="0"/>
        <w:jc w:val="both"/>
        <w:rPr>
          <w:rFonts w:ascii="Times New Roman" w:hAnsi="Times New Roman" w:cs="Times New Roman"/>
          <w:sz w:val="24"/>
          <w:szCs w:val="24"/>
        </w:rPr>
      </w:pPr>
    </w:p>
    <w:p w14:paraId="445EE452" w14:textId="77777777" w:rsidR="008C643A" w:rsidRPr="00C0186C" w:rsidRDefault="005B6C9C"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U t</w:t>
      </w:r>
      <w:r w:rsidR="00263BE9" w:rsidRPr="00C0186C">
        <w:rPr>
          <w:rFonts w:ascii="Times New Roman" w:hAnsi="Times New Roman" w:cs="Times New Roman"/>
          <w:sz w:val="24"/>
          <w:szCs w:val="24"/>
        </w:rPr>
        <w:t>reće</w:t>
      </w:r>
      <w:r w:rsidRPr="00C0186C">
        <w:rPr>
          <w:rFonts w:ascii="Times New Roman" w:hAnsi="Times New Roman" w:cs="Times New Roman"/>
          <w:sz w:val="24"/>
          <w:szCs w:val="24"/>
        </w:rPr>
        <w:t>m poglavlju iznose se najznačajniji nalazi stručne analitičke podloge koja je</w:t>
      </w:r>
      <w:r w:rsidR="00282C70" w:rsidRPr="00C0186C">
        <w:rPr>
          <w:rFonts w:ascii="Times New Roman" w:hAnsi="Times New Roman" w:cs="Times New Roman"/>
          <w:sz w:val="24"/>
          <w:szCs w:val="24"/>
        </w:rPr>
        <w:t xml:space="preserve"> prethodno izrađena </w:t>
      </w:r>
      <w:r w:rsidRPr="00C0186C">
        <w:rPr>
          <w:rFonts w:ascii="Times New Roman" w:hAnsi="Times New Roman" w:cs="Times New Roman"/>
          <w:sz w:val="24"/>
          <w:szCs w:val="24"/>
        </w:rPr>
        <w:t xml:space="preserve">kao polazište izrade mjera i aktivnosti usmjerenih na poticanje razvitka </w:t>
      </w:r>
      <w:r w:rsidR="00716AA5" w:rsidRPr="00C0186C">
        <w:rPr>
          <w:rFonts w:ascii="Times New Roman" w:hAnsi="Times New Roman" w:cs="Times New Roman"/>
          <w:sz w:val="24"/>
          <w:szCs w:val="24"/>
        </w:rPr>
        <w:t>potpomognutih područja (</w:t>
      </w:r>
      <w:r w:rsidRPr="00C0186C">
        <w:rPr>
          <w:rFonts w:ascii="Times New Roman" w:hAnsi="Times New Roman" w:cs="Times New Roman"/>
          <w:sz w:val="24"/>
          <w:szCs w:val="24"/>
        </w:rPr>
        <w:t xml:space="preserve">PP) Republike Hrvatske za razdoblje od četiri godine. S obzirom na metodologiju izrade </w:t>
      </w:r>
      <w:r w:rsidR="00282C70" w:rsidRPr="00C0186C">
        <w:rPr>
          <w:rFonts w:ascii="Times New Roman" w:hAnsi="Times New Roman" w:cs="Times New Roman"/>
          <w:sz w:val="24"/>
          <w:szCs w:val="24"/>
        </w:rPr>
        <w:t>a</w:t>
      </w:r>
      <w:r w:rsidRPr="00C0186C">
        <w:rPr>
          <w:rFonts w:ascii="Times New Roman" w:hAnsi="Times New Roman" w:cs="Times New Roman"/>
          <w:sz w:val="24"/>
          <w:szCs w:val="24"/>
        </w:rPr>
        <w:t>nalitičke podloge, prikaz glavnih nalaza odnosi se na dugoročna</w:t>
      </w:r>
      <w:r w:rsidR="00716AA5" w:rsidRPr="00C0186C">
        <w:rPr>
          <w:rFonts w:ascii="Times New Roman" w:hAnsi="Times New Roman" w:cs="Times New Roman"/>
          <w:sz w:val="24"/>
          <w:szCs w:val="24"/>
        </w:rPr>
        <w:t xml:space="preserve"> socijalno-ekonomska obilježja </w:t>
      </w:r>
      <w:r w:rsidRPr="00C0186C">
        <w:rPr>
          <w:rFonts w:ascii="Times New Roman" w:hAnsi="Times New Roman" w:cs="Times New Roman"/>
          <w:sz w:val="24"/>
          <w:szCs w:val="24"/>
        </w:rPr>
        <w:t>PP</w:t>
      </w:r>
      <w:r w:rsidR="00581301" w:rsidRPr="00C0186C">
        <w:rPr>
          <w:rFonts w:ascii="Times New Roman" w:hAnsi="Times New Roman" w:cs="Times New Roman"/>
          <w:sz w:val="24"/>
          <w:szCs w:val="24"/>
        </w:rPr>
        <w:t>-a</w:t>
      </w:r>
      <w:r w:rsidRPr="00C0186C">
        <w:rPr>
          <w:rFonts w:ascii="Times New Roman" w:hAnsi="Times New Roman" w:cs="Times New Roman"/>
          <w:sz w:val="24"/>
          <w:szCs w:val="24"/>
        </w:rPr>
        <w:t xml:space="preserve"> koja su istraživana temeljem </w:t>
      </w:r>
      <w:r w:rsidR="007A5ACE" w:rsidRPr="00C0186C">
        <w:rPr>
          <w:rFonts w:ascii="Times New Roman" w:hAnsi="Times New Roman" w:cs="Times New Roman"/>
          <w:sz w:val="24"/>
          <w:szCs w:val="24"/>
        </w:rPr>
        <w:t>„stare“ metodologije izračuna indeksa razvijenosti, a koja je vrijedila do 2018</w:t>
      </w:r>
      <w:r w:rsidR="00C51B71" w:rsidRPr="00C0186C">
        <w:rPr>
          <w:rFonts w:ascii="Times New Roman" w:hAnsi="Times New Roman" w:cs="Times New Roman"/>
          <w:sz w:val="24"/>
          <w:szCs w:val="24"/>
        </w:rPr>
        <w:t xml:space="preserve">. godine. Također su u ovom poglavlju prikazani nalazi </w:t>
      </w:r>
      <w:r w:rsidR="00282C70" w:rsidRPr="00C0186C">
        <w:rPr>
          <w:rFonts w:ascii="Times New Roman" w:hAnsi="Times New Roman" w:cs="Times New Roman"/>
          <w:sz w:val="24"/>
          <w:szCs w:val="24"/>
        </w:rPr>
        <w:t>a</w:t>
      </w:r>
      <w:r w:rsidR="00C51B71" w:rsidRPr="00C0186C">
        <w:rPr>
          <w:rFonts w:ascii="Times New Roman" w:hAnsi="Times New Roman" w:cs="Times New Roman"/>
          <w:sz w:val="24"/>
          <w:szCs w:val="24"/>
        </w:rPr>
        <w:t>nalitičke st</w:t>
      </w:r>
      <w:r w:rsidR="007A5ACE" w:rsidRPr="00C0186C">
        <w:rPr>
          <w:rFonts w:ascii="Times New Roman" w:hAnsi="Times New Roman" w:cs="Times New Roman"/>
          <w:sz w:val="24"/>
          <w:szCs w:val="24"/>
        </w:rPr>
        <w:t>udije koji se odnose na stanje PP</w:t>
      </w:r>
      <w:r w:rsidR="00581301" w:rsidRPr="00C0186C">
        <w:rPr>
          <w:rFonts w:ascii="Times New Roman" w:hAnsi="Times New Roman" w:cs="Times New Roman"/>
          <w:sz w:val="24"/>
          <w:szCs w:val="24"/>
        </w:rPr>
        <w:t>-a</w:t>
      </w:r>
      <w:r w:rsidR="007A5ACE" w:rsidRPr="00C0186C">
        <w:rPr>
          <w:rFonts w:ascii="Times New Roman" w:hAnsi="Times New Roman" w:cs="Times New Roman"/>
          <w:sz w:val="24"/>
          <w:szCs w:val="24"/>
        </w:rPr>
        <w:t xml:space="preserve"> temeljem novog indeksa razvijenosti</w:t>
      </w:r>
      <w:r w:rsidR="00C51B71" w:rsidRPr="00C0186C">
        <w:rPr>
          <w:rStyle w:val="FootnoteReference"/>
          <w:rFonts w:ascii="Times New Roman" w:hAnsi="Times New Roman" w:cs="Times New Roman"/>
          <w:sz w:val="24"/>
          <w:szCs w:val="24"/>
        </w:rPr>
        <w:footnoteReference w:id="1"/>
      </w:r>
      <w:r w:rsidR="00C51B71" w:rsidRPr="00C0186C">
        <w:rPr>
          <w:rFonts w:ascii="Times New Roman" w:hAnsi="Times New Roman" w:cs="Times New Roman"/>
          <w:sz w:val="24"/>
          <w:szCs w:val="24"/>
        </w:rPr>
        <w:t>, a obuhvaćaju širu skupinu relevantnih pokazatelja u razdoblju 2015.-201</w:t>
      </w:r>
      <w:r w:rsidR="00CC53DA" w:rsidRPr="00C0186C">
        <w:rPr>
          <w:rFonts w:ascii="Times New Roman" w:hAnsi="Times New Roman" w:cs="Times New Roman"/>
          <w:sz w:val="24"/>
          <w:szCs w:val="24"/>
        </w:rPr>
        <w:t>9</w:t>
      </w:r>
      <w:r w:rsidR="00C51B71" w:rsidRPr="00C0186C">
        <w:rPr>
          <w:rFonts w:ascii="Times New Roman" w:hAnsi="Times New Roman" w:cs="Times New Roman"/>
          <w:sz w:val="24"/>
          <w:szCs w:val="24"/>
        </w:rPr>
        <w:t>. godine.</w:t>
      </w:r>
    </w:p>
    <w:p w14:paraId="0769EE6A" w14:textId="77777777" w:rsidR="00C51B71" w:rsidRPr="00C0186C" w:rsidRDefault="00C51B71" w:rsidP="00B70EE8">
      <w:pPr>
        <w:spacing w:before="0" w:after="0"/>
        <w:jc w:val="both"/>
        <w:rPr>
          <w:rFonts w:ascii="Times New Roman" w:hAnsi="Times New Roman" w:cs="Times New Roman"/>
          <w:sz w:val="24"/>
          <w:szCs w:val="24"/>
        </w:rPr>
      </w:pPr>
    </w:p>
    <w:p w14:paraId="05EC1D12" w14:textId="0686C788" w:rsidR="00C11084" w:rsidRPr="00C0186C" w:rsidRDefault="00C51B71"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 xml:space="preserve">Konceptualno polazište izrade Programa prikazano je u četvrtom poglavlju. Temelji se na relevantnom strateškom okviru, ključnim nalazima Analitičke podloge, </w:t>
      </w:r>
      <w:r w:rsidR="001E72D3" w:rsidRPr="00C0186C">
        <w:rPr>
          <w:rFonts w:ascii="Times New Roman" w:hAnsi="Times New Roman" w:cs="Times New Roman"/>
          <w:sz w:val="24"/>
          <w:szCs w:val="24"/>
        </w:rPr>
        <w:t>te</w:t>
      </w:r>
      <w:r w:rsidRPr="00C0186C">
        <w:rPr>
          <w:rFonts w:ascii="Times New Roman" w:hAnsi="Times New Roman" w:cs="Times New Roman"/>
          <w:sz w:val="24"/>
          <w:szCs w:val="24"/>
        </w:rPr>
        <w:t xml:space="preserve"> </w:t>
      </w:r>
      <w:r w:rsidR="00CC53DA" w:rsidRPr="00C0186C">
        <w:rPr>
          <w:rFonts w:ascii="Times New Roman" w:hAnsi="Times New Roman" w:cs="Times New Roman"/>
          <w:sz w:val="24"/>
          <w:szCs w:val="24"/>
        </w:rPr>
        <w:t xml:space="preserve">prijedlozima </w:t>
      </w:r>
      <w:r w:rsidR="002C1F01" w:rsidRPr="00C0186C">
        <w:rPr>
          <w:rFonts w:ascii="Times New Roman" w:hAnsi="Times New Roman" w:cs="Times New Roman"/>
          <w:sz w:val="24"/>
          <w:szCs w:val="24"/>
        </w:rPr>
        <w:t xml:space="preserve">stručnih i radnih skupina koje su participirale u procesu pripreme Programa. Na kraju ovog poglavlja, a uvažavajući temeljna načela strateškog planiranja i upravljanja razvojem, definirani su osnovni strateški ciljevi Programa </w:t>
      </w:r>
      <w:r w:rsidR="00453A6E" w:rsidRPr="00C0186C">
        <w:rPr>
          <w:rFonts w:ascii="Times New Roman" w:hAnsi="Times New Roman" w:cs="Times New Roman"/>
          <w:sz w:val="24"/>
          <w:szCs w:val="24"/>
        </w:rPr>
        <w:t>za razdoblje 20</w:t>
      </w:r>
      <w:r w:rsidR="002C1F01" w:rsidRPr="00C0186C">
        <w:rPr>
          <w:rFonts w:ascii="Times New Roman" w:hAnsi="Times New Roman" w:cs="Times New Roman"/>
          <w:sz w:val="24"/>
          <w:szCs w:val="24"/>
        </w:rPr>
        <w:t>2</w:t>
      </w:r>
      <w:r w:rsidR="00A759C0">
        <w:rPr>
          <w:rFonts w:ascii="Times New Roman" w:hAnsi="Times New Roman" w:cs="Times New Roman"/>
          <w:sz w:val="24"/>
          <w:szCs w:val="24"/>
        </w:rPr>
        <w:t>2</w:t>
      </w:r>
      <w:r w:rsidR="002C1F01" w:rsidRPr="00C0186C">
        <w:rPr>
          <w:rFonts w:ascii="Times New Roman" w:hAnsi="Times New Roman" w:cs="Times New Roman"/>
          <w:sz w:val="24"/>
          <w:szCs w:val="24"/>
        </w:rPr>
        <w:t>.</w:t>
      </w:r>
      <w:r w:rsidR="00453A6E" w:rsidRPr="00C0186C">
        <w:rPr>
          <w:rFonts w:ascii="Times New Roman" w:hAnsi="Times New Roman" w:cs="Times New Roman"/>
          <w:sz w:val="24"/>
          <w:szCs w:val="24"/>
        </w:rPr>
        <w:t>-202</w:t>
      </w:r>
      <w:r w:rsidR="00A759C0">
        <w:rPr>
          <w:rFonts w:ascii="Times New Roman" w:hAnsi="Times New Roman" w:cs="Times New Roman"/>
          <w:sz w:val="24"/>
          <w:szCs w:val="24"/>
        </w:rPr>
        <w:t>5</w:t>
      </w:r>
      <w:r w:rsidR="00453A6E" w:rsidRPr="00C0186C">
        <w:rPr>
          <w:rFonts w:ascii="Times New Roman" w:hAnsi="Times New Roman" w:cs="Times New Roman"/>
          <w:sz w:val="24"/>
          <w:szCs w:val="24"/>
        </w:rPr>
        <w:t xml:space="preserve">. </w:t>
      </w:r>
    </w:p>
    <w:p w14:paraId="4E23F6BB" w14:textId="77777777" w:rsidR="00453A6E" w:rsidRPr="00C0186C" w:rsidRDefault="00453A6E" w:rsidP="00B70EE8">
      <w:pPr>
        <w:spacing w:before="0" w:after="0"/>
        <w:jc w:val="both"/>
        <w:rPr>
          <w:rFonts w:ascii="Times New Roman" w:hAnsi="Times New Roman" w:cs="Times New Roman"/>
          <w:sz w:val="24"/>
          <w:szCs w:val="24"/>
        </w:rPr>
      </w:pPr>
    </w:p>
    <w:p w14:paraId="54BD50CE" w14:textId="77777777" w:rsidR="008C643A" w:rsidRPr="00C0186C" w:rsidRDefault="00453A6E"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Mjere, aktivnosti i mogući izvori financiranja opisani su i predloženi u petom poglavlju.</w:t>
      </w:r>
    </w:p>
    <w:p w14:paraId="7DD1C5C0" w14:textId="77777777" w:rsidR="007B1191" w:rsidRPr="00C0186C" w:rsidRDefault="007B1191" w:rsidP="00B70EE8">
      <w:pPr>
        <w:spacing w:before="0" w:after="0"/>
        <w:jc w:val="both"/>
        <w:rPr>
          <w:rFonts w:ascii="Times New Roman" w:hAnsi="Times New Roman" w:cs="Times New Roman"/>
          <w:sz w:val="24"/>
          <w:szCs w:val="24"/>
        </w:rPr>
      </w:pPr>
    </w:p>
    <w:p w14:paraId="608646CD" w14:textId="547A8359" w:rsidR="00D22350" w:rsidRDefault="002C1F01"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Pokazatelji praćenja i vrednovanja učinaka i ishoda Programa, predloženi su u šestom poglavlju. Predloženi set pokazatelja ima za cilj omogućiti MRRFEU</w:t>
      </w:r>
      <w:r w:rsidR="00A05E64">
        <w:rPr>
          <w:rFonts w:ascii="Times New Roman" w:hAnsi="Times New Roman" w:cs="Times New Roman"/>
          <w:sz w:val="24"/>
          <w:szCs w:val="24"/>
        </w:rPr>
        <w:t>-u</w:t>
      </w:r>
      <w:r w:rsidRPr="00C0186C">
        <w:rPr>
          <w:rFonts w:ascii="Times New Roman" w:hAnsi="Times New Roman" w:cs="Times New Roman"/>
          <w:sz w:val="24"/>
          <w:szCs w:val="24"/>
        </w:rPr>
        <w:t xml:space="preserve"> cjelovito praćenje i vrednovanje učinaka postavljenih  ciljeva, kao i ishoda predloženih mjera u razdoblju od četiri programske godine. </w:t>
      </w:r>
    </w:p>
    <w:p w14:paraId="54E2398F" w14:textId="77777777" w:rsidR="00DE04FC" w:rsidRPr="00C0186C" w:rsidRDefault="00DE04FC" w:rsidP="00B70EE8">
      <w:pPr>
        <w:spacing w:before="0" w:after="0"/>
        <w:jc w:val="both"/>
        <w:rPr>
          <w:rFonts w:ascii="Times New Roman" w:hAnsi="Times New Roman" w:cs="Times New Roman"/>
          <w:sz w:val="24"/>
          <w:szCs w:val="24"/>
        </w:rPr>
      </w:pPr>
    </w:p>
    <w:p w14:paraId="503F394E" w14:textId="72BA54BD" w:rsidR="008E7387" w:rsidRPr="004B2B93" w:rsidRDefault="008C643A" w:rsidP="00CA63B9">
      <w:pPr>
        <w:pStyle w:val="Heading1"/>
        <w:numPr>
          <w:ilvl w:val="0"/>
          <w:numId w:val="42"/>
        </w:numPr>
        <w:shd w:val="clear" w:color="auto" w:fill="DEEAF6" w:themeFill="accent1" w:themeFillTint="33"/>
        <w:tabs>
          <w:tab w:val="left" w:pos="426"/>
        </w:tabs>
        <w:spacing w:before="0"/>
        <w:ind w:hanging="720"/>
        <w:rPr>
          <w:rFonts w:ascii="Times New Roman" w:hAnsi="Times New Roman" w:cs="Times New Roman"/>
          <w:b/>
          <w:bCs/>
          <w:color w:val="auto"/>
          <w:sz w:val="28"/>
          <w:szCs w:val="28"/>
        </w:rPr>
      </w:pPr>
      <w:bookmarkStart w:id="8" w:name="_Toc95891854"/>
      <w:r w:rsidRPr="004B2B93">
        <w:rPr>
          <w:rFonts w:ascii="Times New Roman" w:hAnsi="Times New Roman" w:cs="Times New Roman"/>
          <w:b/>
          <w:bCs/>
          <w:color w:val="auto"/>
          <w:sz w:val="28"/>
          <w:szCs w:val="28"/>
        </w:rPr>
        <w:t xml:space="preserve">PRAVNI, STRATEŠKI I </w:t>
      </w:r>
      <w:r w:rsidR="008E7387" w:rsidRPr="004B2B93">
        <w:rPr>
          <w:rFonts w:ascii="Times New Roman" w:hAnsi="Times New Roman" w:cs="Times New Roman"/>
          <w:b/>
          <w:bCs/>
          <w:color w:val="auto"/>
          <w:sz w:val="28"/>
          <w:szCs w:val="28"/>
        </w:rPr>
        <w:t>INSTITUCIONALNI OKVIR</w:t>
      </w:r>
      <w:bookmarkEnd w:id="8"/>
      <w:r w:rsidR="008E7387" w:rsidRPr="004B2B93">
        <w:rPr>
          <w:rFonts w:ascii="Times New Roman" w:hAnsi="Times New Roman" w:cs="Times New Roman"/>
          <w:b/>
          <w:bCs/>
          <w:color w:val="auto"/>
          <w:sz w:val="28"/>
          <w:szCs w:val="28"/>
        </w:rPr>
        <w:t xml:space="preserve"> </w:t>
      </w:r>
    </w:p>
    <w:p w14:paraId="248651E9" w14:textId="77777777" w:rsidR="008E7387" w:rsidRPr="0092230F" w:rsidRDefault="008E7387" w:rsidP="00B70EE8">
      <w:pPr>
        <w:spacing w:before="0" w:after="0"/>
        <w:jc w:val="both"/>
        <w:rPr>
          <w:rFonts w:ascii="Times New Roman" w:hAnsi="Times New Roman" w:cs="Times New Roman"/>
          <w:bCs/>
          <w:sz w:val="24"/>
          <w:szCs w:val="24"/>
        </w:rPr>
      </w:pPr>
    </w:p>
    <w:p w14:paraId="64E90DAF" w14:textId="58D6AE7D" w:rsidR="00A55FF0" w:rsidRPr="00C0186C" w:rsidRDefault="008D5796" w:rsidP="001E5E21">
      <w:pPr>
        <w:pStyle w:val="Bezproreda1"/>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Pravno polazište i zakonska o</w:t>
      </w:r>
      <w:r w:rsidR="00617031" w:rsidRPr="00C0186C">
        <w:rPr>
          <w:rFonts w:ascii="Times New Roman" w:hAnsi="Times New Roman" w:cs="Times New Roman"/>
          <w:sz w:val="24"/>
          <w:szCs w:val="24"/>
        </w:rPr>
        <w:t xml:space="preserve">bveza izrade i provedbe Programa </w:t>
      </w:r>
      <w:r w:rsidR="00437DB4" w:rsidRPr="00C0186C">
        <w:rPr>
          <w:rFonts w:ascii="Times New Roman" w:hAnsi="Times New Roman" w:cs="Times New Roman"/>
          <w:sz w:val="24"/>
          <w:szCs w:val="24"/>
        </w:rPr>
        <w:t xml:space="preserve">održivog društvenog i gospodarskog razvoja potpomognutih područja </w:t>
      </w:r>
      <w:r w:rsidRPr="00C0186C">
        <w:rPr>
          <w:rFonts w:ascii="Times New Roman" w:hAnsi="Times New Roman" w:cs="Times New Roman"/>
          <w:sz w:val="24"/>
          <w:szCs w:val="24"/>
        </w:rPr>
        <w:t>p</w:t>
      </w:r>
      <w:r w:rsidR="00617031" w:rsidRPr="00C0186C">
        <w:rPr>
          <w:rFonts w:ascii="Times New Roman" w:hAnsi="Times New Roman" w:cs="Times New Roman"/>
          <w:sz w:val="24"/>
          <w:szCs w:val="24"/>
        </w:rPr>
        <w:t xml:space="preserve">roizlazi iz Zakona o </w:t>
      </w:r>
      <w:r w:rsidR="00437DB4" w:rsidRPr="00C0186C">
        <w:rPr>
          <w:rFonts w:ascii="Times New Roman" w:hAnsi="Times New Roman" w:cs="Times New Roman"/>
          <w:sz w:val="24"/>
          <w:szCs w:val="24"/>
        </w:rPr>
        <w:t xml:space="preserve">potpomognutim </w:t>
      </w:r>
      <w:r w:rsidRPr="00C0186C">
        <w:rPr>
          <w:rFonts w:ascii="Times New Roman" w:hAnsi="Times New Roman" w:cs="Times New Roman"/>
          <w:sz w:val="24"/>
          <w:szCs w:val="24"/>
        </w:rPr>
        <w:t>područjima</w:t>
      </w:r>
      <w:r w:rsidR="00617031" w:rsidRPr="00C0186C">
        <w:rPr>
          <w:rFonts w:ascii="Times New Roman" w:hAnsi="Times New Roman" w:cs="Times New Roman"/>
          <w:sz w:val="24"/>
          <w:szCs w:val="24"/>
        </w:rPr>
        <w:t xml:space="preserve"> </w:t>
      </w:r>
      <w:r w:rsidR="00B164C2" w:rsidRPr="00C0186C">
        <w:rPr>
          <w:rFonts w:ascii="Times New Roman" w:hAnsi="Times New Roman" w:cs="Times New Roman"/>
          <w:i/>
          <w:iCs/>
          <w:sz w:val="24"/>
          <w:szCs w:val="24"/>
        </w:rPr>
        <w:t xml:space="preserve">(„Narodne novine“, br. </w:t>
      </w:r>
      <w:r w:rsidR="002578E5" w:rsidRPr="00C0186C">
        <w:rPr>
          <w:rFonts w:ascii="Times New Roman" w:hAnsi="Times New Roman" w:cs="Times New Roman"/>
          <w:i/>
          <w:iCs/>
          <w:sz w:val="24"/>
          <w:szCs w:val="24"/>
        </w:rPr>
        <w:t>118/18</w:t>
      </w:r>
      <w:r w:rsidR="00425946" w:rsidRPr="00C0186C">
        <w:rPr>
          <w:rFonts w:ascii="Times New Roman" w:hAnsi="Times New Roman" w:cs="Times New Roman"/>
          <w:sz w:val="24"/>
          <w:szCs w:val="24"/>
        </w:rPr>
        <w:t>, Zakon</w:t>
      </w:r>
      <w:r w:rsidR="00617031" w:rsidRPr="00C0186C">
        <w:rPr>
          <w:rFonts w:ascii="Times New Roman" w:hAnsi="Times New Roman" w:cs="Times New Roman"/>
          <w:sz w:val="24"/>
          <w:szCs w:val="24"/>
        </w:rPr>
        <w:t>)</w:t>
      </w:r>
      <w:r w:rsidRPr="00C0186C">
        <w:rPr>
          <w:rFonts w:ascii="Times New Roman" w:hAnsi="Times New Roman" w:cs="Times New Roman"/>
          <w:sz w:val="24"/>
          <w:szCs w:val="24"/>
        </w:rPr>
        <w:t xml:space="preserve"> </w:t>
      </w:r>
      <w:r w:rsidR="001872C0" w:rsidRPr="00C0186C">
        <w:rPr>
          <w:rFonts w:ascii="Times New Roman" w:hAnsi="Times New Roman" w:cs="Times New Roman"/>
          <w:sz w:val="24"/>
          <w:szCs w:val="24"/>
        </w:rPr>
        <w:t xml:space="preserve">koji je na snazi </w:t>
      </w:r>
      <w:r w:rsidRPr="00C0186C">
        <w:rPr>
          <w:rFonts w:ascii="Times New Roman" w:hAnsi="Times New Roman" w:cs="Times New Roman"/>
          <w:sz w:val="24"/>
          <w:szCs w:val="24"/>
        </w:rPr>
        <w:t>od 04. siječnja 2019. godine</w:t>
      </w:r>
      <w:r w:rsidR="00617031" w:rsidRPr="00C0186C">
        <w:rPr>
          <w:rFonts w:ascii="Times New Roman" w:hAnsi="Times New Roman" w:cs="Times New Roman"/>
          <w:sz w:val="24"/>
          <w:szCs w:val="24"/>
        </w:rPr>
        <w:t>.</w:t>
      </w:r>
      <w:r w:rsidRPr="00C0186C">
        <w:rPr>
          <w:rFonts w:ascii="Times New Roman" w:hAnsi="Times New Roman" w:cs="Times New Roman"/>
          <w:sz w:val="24"/>
          <w:szCs w:val="24"/>
        </w:rPr>
        <w:t xml:space="preserve"> </w:t>
      </w:r>
    </w:p>
    <w:p w14:paraId="5BBEEA62" w14:textId="77777777" w:rsidR="008D5796" w:rsidRPr="00C0186C" w:rsidRDefault="008D5796" w:rsidP="00B70EE8">
      <w:pPr>
        <w:pStyle w:val="NoSpacing"/>
        <w:spacing w:before="0" w:line="276" w:lineRule="auto"/>
        <w:ind w:left="720"/>
        <w:jc w:val="both"/>
        <w:rPr>
          <w:rFonts w:ascii="Times New Roman" w:hAnsi="Times New Roman" w:cs="Times New Roman"/>
          <w:sz w:val="24"/>
          <w:szCs w:val="24"/>
        </w:rPr>
      </w:pPr>
    </w:p>
    <w:p w14:paraId="46329C73" w14:textId="77777777" w:rsidR="003803A4" w:rsidRPr="00C0186C" w:rsidRDefault="003803A4"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Osim Zakona o </w:t>
      </w:r>
      <w:r w:rsidR="009C3B86" w:rsidRPr="00C0186C">
        <w:rPr>
          <w:rFonts w:ascii="Times New Roman" w:hAnsi="Times New Roman" w:cs="Times New Roman"/>
          <w:sz w:val="24"/>
          <w:szCs w:val="24"/>
        </w:rPr>
        <w:t xml:space="preserve">potpomognutim </w:t>
      </w:r>
      <w:r w:rsidRPr="00C0186C">
        <w:rPr>
          <w:rFonts w:ascii="Times New Roman" w:hAnsi="Times New Roman" w:cs="Times New Roman"/>
          <w:sz w:val="24"/>
          <w:szCs w:val="24"/>
        </w:rPr>
        <w:t xml:space="preserve"> područjima, pravni okvir izrade Programa predstavlja i krovni Zakon o regionalnom razvoju Republike Hrvatske</w:t>
      </w:r>
      <w:r w:rsidRPr="00C0186C">
        <w:rPr>
          <w:rFonts w:ascii="Times New Roman" w:hAnsi="Times New Roman" w:cs="Times New Roman"/>
          <w:i/>
          <w:iCs/>
          <w:sz w:val="24"/>
          <w:szCs w:val="24"/>
        </w:rPr>
        <w:t xml:space="preserve"> </w:t>
      </w:r>
      <w:r w:rsidR="00E1128D" w:rsidRPr="00C0186C">
        <w:rPr>
          <w:rFonts w:ascii="Times New Roman" w:hAnsi="Times New Roman" w:cs="Times New Roman"/>
          <w:i/>
          <w:iCs/>
          <w:sz w:val="24"/>
          <w:szCs w:val="24"/>
        </w:rPr>
        <w:t xml:space="preserve">(„Narodne novine“, br. </w:t>
      </w:r>
      <w:r w:rsidRPr="00C0186C">
        <w:rPr>
          <w:rFonts w:ascii="Times New Roman" w:hAnsi="Times New Roman" w:cs="Times New Roman"/>
          <w:i/>
          <w:iCs/>
          <w:sz w:val="24"/>
          <w:szCs w:val="24"/>
        </w:rPr>
        <w:t>147/14, 123/17, 118/18)</w:t>
      </w:r>
      <w:r w:rsidRPr="00C0186C">
        <w:rPr>
          <w:rFonts w:ascii="Times New Roman" w:hAnsi="Times New Roman" w:cs="Times New Roman"/>
          <w:sz w:val="24"/>
          <w:szCs w:val="24"/>
        </w:rPr>
        <w:t xml:space="preserve"> u kojem se navodi da </w:t>
      </w:r>
      <w:r w:rsidR="0076676E" w:rsidRPr="00C0186C">
        <w:rPr>
          <w:rFonts w:ascii="Times New Roman" w:hAnsi="Times New Roman" w:cs="Times New Roman"/>
          <w:sz w:val="24"/>
          <w:szCs w:val="24"/>
        </w:rPr>
        <w:t xml:space="preserve">su potpomognuta </w:t>
      </w:r>
      <w:r w:rsidR="007C199A" w:rsidRPr="00C0186C">
        <w:rPr>
          <w:rFonts w:ascii="Times New Roman" w:hAnsi="Times New Roman" w:cs="Times New Roman"/>
          <w:sz w:val="24"/>
          <w:szCs w:val="24"/>
        </w:rPr>
        <w:t xml:space="preserve">područja </w:t>
      </w:r>
      <w:r w:rsidR="001E1BAE" w:rsidRPr="00C0186C">
        <w:rPr>
          <w:rFonts w:ascii="Times New Roman" w:hAnsi="Times New Roman" w:cs="Times New Roman"/>
          <w:sz w:val="24"/>
          <w:szCs w:val="24"/>
        </w:rPr>
        <w:t>ona koja su  prema indeksu razvijenosti ocijenjena</w:t>
      </w:r>
      <w:r w:rsidR="005B0C13" w:rsidRPr="00C0186C">
        <w:rPr>
          <w:rFonts w:ascii="Times New Roman" w:hAnsi="Times New Roman" w:cs="Times New Roman"/>
          <w:sz w:val="24"/>
          <w:szCs w:val="24"/>
        </w:rPr>
        <w:t xml:space="preserve"> kao područja koja </w:t>
      </w:r>
      <w:r w:rsidR="00016F2B" w:rsidRPr="00C0186C">
        <w:rPr>
          <w:rFonts w:ascii="Times New Roman" w:hAnsi="Times New Roman" w:cs="Times New Roman"/>
          <w:sz w:val="24"/>
          <w:szCs w:val="24"/>
        </w:rPr>
        <w:t xml:space="preserve">zaostaju </w:t>
      </w:r>
      <w:r w:rsidR="005B0C13" w:rsidRPr="00C0186C">
        <w:rPr>
          <w:rFonts w:ascii="Times New Roman" w:hAnsi="Times New Roman" w:cs="Times New Roman"/>
          <w:sz w:val="24"/>
          <w:szCs w:val="24"/>
        </w:rPr>
        <w:t xml:space="preserve">u razvoju u odnosu na nacionalni prosjek, </w:t>
      </w:r>
      <w:r w:rsidR="001E1BAE" w:rsidRPr="00C0186C">
        <w:rPr>
          <w:rFonts w:ascii="Times New Roman" w:hAnsi="Times New Roman" w:cs="Times New Roman"/>
          <w:sz w:val="24"/>
          <w:szCs w:val="24"/>
        </w:rPr>
        <w:t xml:space="preserve">te je njihov razvoj potrebno dodatno poticati. </w:t>
      </w:r>
    </w:p>
    <w:p w14:paraId="1EA8C25E" w14:textId="77777777" w:rsidR="008B6F10" w:rsidRPr="00C0186C" w:rsidRDefault="008B6F10" w:rsidP="00B70EE8">
      <w:pPr>
        <w:pStyle w:val="NoSpacing"/>
        <w:spacing w:before="0" w:line="276" w:lineRule="auto"/>
        <w:jc w:val="both"/>
        <w:rPr>
          <w:rFonts w:ascii="Times New Roman" w:hAnsi="Times New Roman" w:cs="Times New Roman"/>
          <w:sz w:val="24"/>
          <w:szCs w:val="24"/>
        </w:rPr>
      </w:pPr>
    </w:p>
    <w:p w14:paraId="4B355AC7" w14:textId="21CCAB6E" w:rsidR="008622A6" w:rsidRPr="00C0186C" w:rsidRDefault="008B6F10"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Pored </w:t>
      </w:r>
      <w:r w:rsidR="008622A6" w:rsidRPr="00C0186C">
        <w:rPr>
          <w:rFonts w:ascii="Times New Roman" w:hAnsi="Times New Roman" w:cs="Times New Roman"/>
          <w:sz w:val="24"/>
          <w:szCs w:val="24"/>
        </w:rPr>
        <w:t>naveden</w:t>
      </w:r>
      <w:r w:rsidR="00BF7B4B" w:rsidRPr="00C0186C">
        <w:rPr>
          <w:rFonts w:ascii="Times New Roman" w:hAnsi="Times New Roman" w:cs="Times New Roman"/>
          <w:sz w:val="24"/>
          <w:szCs w:val="24"/>
        </w:rPr>
        <w:t>ih</w:t>
      </w:r>
      <w:r w:rsidR="008622A6" w:rsidRPr="00C0186C">
        <w:rPr>
          <w:rFonts w:ascii="Times New Roman" w:hAnsi="Times New Roman" w:cs="Times New Roman"/>
          <w:sz w:val="24"/>
          <w:szCs w:val="24"/>
        </w:rPr>
        <w:t xml:space="preserve"> </w:t>
      </w:r>
      <w:r w:rsidR="00A90DB0" w:rsidRPr="00C0186C">
        <w:rPr>
          <w:rFonts w:ascii="Times New Roman" w:hAnsi="Times New Roman" w:cs="Times New Roman"/>
          <w:sz w:val="24"/>
          <w:szCs w:val="24"/>
        </w:rPr>
        <w:t>zakona</w:t>
      </w:r>
      <w:r w:rsidR="008622A6" w:rsidRPr="00C0186C">
        <w:rPr>
          <w:rFonts w:ascii="Times New Roman" w:hAnsi="Times New Roman" w:cs="Times New Roman"/>
          <w:sz w:val="24"/>
          <w:szCs w:val="24"/>
        </w:rPr>
        <w:t xml:space="preserve">, </w:t>
      </w:r>
      <w:r w:rsidR="005A397E" w:rsidRPr="00C0186C">
        <w:rPr>
          <w:rFonts w:ascii="Times New Roman" w:hAnsi="Times New Roman" w:cs="Times New Roman"/>
          <w:sz w:val="24"/>
          <w:szCs w:val="24"/>
        </w:rPr>
        <w:t xml:space="preserve">potreba izrade Programa proizlazi i iz pojedinih akata strateškog planiranja od nacionalnog značaja koji određuju područje djelovanja povezanih politika regionalnog razvoja Republike Hrvatske. </w:t>
      </w:r>
      <w:r w:rsidR="008622A6" w:rsidRPr="00C0186C">
        <w:rPr>
          <w:rFonts w:ascii="Times New Roman" w:hAnsi="Times New Roman" w:cs="Times New Roman"/>
          <w:sz w:val="24"/>
          <w:szCs w:val="24"/>
        </w:rPr>
        <w:t xml:space="preserve">U </w:t>
      </w:r>
      <w:r w:rsidR="00172FDD" w:rsidRPr="00C0186C">
        <w:rPr>
          <w:rFonts w:ascii="Times New Roman" w:hAnsi="Times New Roman" w:cs="Times New Roman"/>
          <w:sz w:val="24"/>
          <w:szCs w:val="24"/>
        </w:rPr>
        <w:t xml:space="preserve">tablici </w:t>
      </w:r>
      <w:r w:rsidR="00B76422" w:rsidRPr="00C0186C">
        <w:rPr>
          <w:rFonts w:ascii="Times New Roman" w:hAnsi="Times New Roman" w:cs="Times New Roman"/>
          <w:sz w:val="24"/>
          <w:szCs w:val="24"/>
        </w:rPr>
        <w:t xml:space="preserve">1. </w:t>
      </w:r>
      <w:r w:rsidR="008622A6" w:rsidRPr="00C0186C">
        <w:rPr>
          <w:rFonts w:ascii="Times New Roman" w:hAnsi="Times New Roman" w:cs="Times New Roman"/>
          <w:sz w:val="24"/>
          <w:szCs w:val="24"/>
        </w:rPr>
        <w:t xml:space="preserve">navode </w:t>
      </w:r>
      <w:r w:rsidR="00B76422" w:rsidRPr="00C0186C">
        <w:rPr>
          <w:rFonts w:ascii="Times New Roman" w:hAnsi="Times New Roman" w:cs="Times New Roman"/>
          <w:sz w:val="24"/>
          <w:szCs w:val="24"/>
        </w:rPr>
        <w:t xml:space="preserve">se </w:t>
      </w:r>
      <w:r w:rsidR="008C130B" w:rsidRPr="00C0186C">
        <w:rPr>
          <w:rFonts w:ascii="Times New Roman" w:hAnsi="Times New Roman" w:cs="Times New Roman"/>
          <w:sz w:val="24"/>
          <w:szCs w:val="24"/>
        </w:rPr>
        <w:t xml:space="preserve">samo </w:t>
      </w:r>
      <w:r w:rsidR="008622A6" w:rsidRPr="00C0186C">
        <w:rPr>
          <w:rFonts w:ascii="Times New Roman" w:hAnsi="Times New Roman" w:cs="Times New Roman"/>
          <w:sz w:val="24"/>
          <w:szCs w:val="24"/>
        </w:rPr>
        <w:t>najvažniji od njih:</w:t>
      </w:r>
    </w:p>
    <w:p w14:paraId="3E9A2966" w14:textId="33F4E11D" w:rsidR="00DE04FC" w:rsidRDefault="00DE04FC" w:rsidP="00B70EE8">
      <w:pPr>
        <w:pStyle w:val="NoSpacing"/>
        <w:spacing w:before="0" w:line="276" w:lineRule="auto"/>
        <w:jc w:val="both"/>
        <w:rPr>
          <w:rFonts w:ascii="Times New Roman" w:hAnsi="Times New Roman" w:cs="Times New Roman"/>
          <w:sz w:val="24"/>
          <w:szCs w:val="24"/>
        </w:rPr>
      </w:pPr>
    </w:p>
    <w:p w14:paraId="546CD2AD" w14:textId="6DDB1914" w:rsidR="001E5E21" w:rsidRDefault="001E5E21" w:rsidP="00B70EE8">
      <w:pPr>
        <w:pStyle w:val="NoSpacing"/>
        <w:spacing w:before="0" w:line="276" w:lineRule="auto"/>
        <w:jc w:val="both"/>
        <w:rPr>
          <w:rFonts w:ascii="Times New Roman" w:hAnsi="Times New Roman" w:cs="Times New Roman"/>
          <w:sz w:val="24"/>
          <w:szCs w:val="24"/>
        </w:rPr>
      </w:pPr>
    </w:p>
    <w:p w14:paraId="095DF321" w14:textId="7444EAF6" w:rsidR="001E5E21" w:rsidRDefault="001E5E21" w:rsidP="00B70EE8">
      <w:pPr>
        <w:pStyle w:val="NoSpacing"/>
        <w:spacing w:before="0" w:line="276" w:lineRule="auto"/>
        <w:jc w:val="both"/>
        <w:rPr>
          <w:rFonts w:ascii="Times New Roman" w:hAnsi="Times New Roman" w:cs="Times New Roman"/>
          <w:sz w:val="24"/>
          <w:szCs w:val="24"/>
        </w:rPr>
      </w:pPr>
    </w:p>
    <w:p w14:paraId="12F6E57E" w14:textId="24CECBA5" w:rsidR="001E5E21" w:rsidRDefault="001E5E21" w:rsidP="00B70EE8">
      <w:pPr>
        <w:pStyle w:val="NoSpacing"/>
        <w:spacing w:before="0" w:line="276" w:lineRule="auto"/>
        <w:jc w:val="both"/>
        <w:rPr>
          <w:rFonts w:ascii="Times New Roman" w:hAnsi="Times New Roman" w:cs="Times New Roman"/>
          <w:sz w:val="24"/>
          <w:szCs w:val="24"/>
        </w:rPr>
      </w:pPr>
    </w:p>
    <w:p w14:paraId="2C674D9D" w14:textId="12193D41" w:rsidR="001E5E21" w:rsidRDefault="001E5E21" w:rsidP="00B70EE8">
      <w:pPr>
        <w:pStyle w:val="NoSpacing"/>
        <w:spacing w:before="0" w:line="276" w:lineRule="auto"/>
        <w:jc w:val="both"/>
        <w:rPr>
          <w:rFonts w:ascii="Times New Roman" w:hAnsi="Times New Roman" w:cs="Times New Roman"/>
          <w:sz w:val="24"/>
          <w:szCs w:val="24"/>
        </w:rPr>
      </w:pPr>
    </w:p>
    <w:p w14:paraId="26A34F98" w14:textId="7B0DD913" w:rsidR="001E5E21" w:rsidRDefault="001E5E21" w:rsidP="00B70EE8">
      <w:pPr>
        <w:pStyle w:val="NoSpacing"/>
        <w:spacing w:before="0" w:line="276" w:lineRule="auto"/>
        <w:jc w:val="both"/>
        <w:rPr>
          <w:rFonts w:ascii="Times New Roman" w:hAnsi="Times New Roman" w:cs="Times New Roman"/>
          <w:sz w:val="24"/>
          <w:szCs w:val="24"/>
        </w:rPr>
      </w:pPr>
    </w:p>
    <w:p w14:paraId="5D4DB5BF" w14:textId="77777777" w:rsidR="00393579" w:rsidRPr="00C0186C" w:rsidRDefault="00393579" w:rsidP="00B70EE8">
      <w:pPr>
        <w:pStyle w:val="NoSpacing"/>
        <w:spacing w:before="0" w:line="276" w:lineRule="auto"/>
        <w:jc w:val="both"/>
        <w:rPr>
          <w:rFonts w:ascii="Times New Roman" w:hAnsi="Times New Roman" w:cs="Times New Roman"/>
          <w:sz w:val="24"/>
          <w:szCs w:val="24"/>
        </w:rPr>
      </w:pPr>
    </w:p>
    <w:p w14:paraId="64F195B6" w14:textId="77777777" w:rsidR="00B76422" w:rsidRPr="00705417" w:rsidRDefault="00172FDD" w:rsidP="00B70EE8">
      <w:pPr>
        <w:pStyle w:val="NoSpacing"/>
        <w:spacing w:before="0" w:line="276" w:lineRule="auto"/>
        <w:rPr>
          <w:rFonts w:ascii="Times New Roman" w:hAnsi="Times New Roman" w:cs="Times New Roman"/>
          <w:sz w:val="22"/>
          <w:szCs w:val="22"/>
        </w:rPr>
      </w:pPr>
      <w:r w:rsidRPr="00705417">
        <w:rPr>
          <w:rFonts w:ascii="Times New Roman" w:hAnsi="Times New Roman" w:cs="Times New Roman"/>
          <w:b/>
          <w:sz w:val="22"/>
          <w:szCs w:val="22"/>
        </w:rPr>
        <w:t xml:space="preserve">Tablica </w:t>
      </w:r>
      <w:r w:rsidR="00B76422" w:rsidRPr="00705417">
        <w:rPr>
          <w:rFonts w:ascii="Times New Roman" w:hAnsi="Times New Roman" w:cs="Times New Roman"/>
          <w:b/>
          <w:sz w:val="22"/>
          <w:szCs w:val="22"/>
        </w:rPr>
        <w:t>1.</w:t>
      </w:r>
      <w:r w:rsidR="00B76422" w:rsidRPr="00705417">
        <w:rPr>
          <w:rFonts w:ascii="Times New Roman" w:hAnsi="Times New Roman" w:cs="Times New Roman"/>
          <w:sz w:val="22"/>
          <w:szCs w:val="22"/>
        </w:rPr>
        <w:t xml:space="preserve"> </w:t>
      </w:r>
      <w:r w:rsidR="00B76422" w:rsidRPr="00705417">
        <w:rPr>
          <w:rFonts w:ascii="Times New Roman" w:hAnsi="Times New Roman" w:cs="Times New Roman"/>
          <w:bCs/>
          <w:sz w:val="22"/>
          <w:szCs w:val="22"/>
        </w:rPr>
        <w:t>Strateški okvir izrade Programa</w:t>
      </w:r>
      <w:r w:rsidR="00B76422" w:rsidRPr="00705417">
        <w:rPr>
          <w:rFonts w:ascii="Times New Roman" w:hAnsi="Times New Roman" w:cs="Times New Roman"/>
          <w:sz w:val="22"/>
          <w:szCs w:val="22"/>
        </w:rPr>
        <w:t xml:space="preserve"> </w:t>
      </w:r>
    </w:p>
    <w:tbl>
      <w:tblPr>
        <w:tblStyle w:val="GridTable5Dark-Accent1"/>
        <w:tblW w:w="9356" w:type="dxa"/>
        <w:shd w:val="clear" w:color="auto" w:fill="DEEAF6" w:themeFill="accent1" w:themeFillTint="33"/>
        <w:tblLook w:val="04A0" w:firstRow="1" w:lastRow="0" w:firstColumn="1" w:lastColumn="0" w:noHBand="0" w:noVBand="1"/>
      </w:tblPr>
      <w:tblGrid>
        <w:gridCol w:w="2103"/>
        <w:gridCol w:w="7253"/>
      </w:tblGrid>
      <w:tr w:rsidR="0092230F" w:rsidRPr="0092230F" w14:paraId="1583D239" w14:textId="77777777" w:rsidTr="0011380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FFFFFF" w:themeColor="background1"/>
            </w:tcBorders>
          </w:tcPr>
          <w:p w14:paraId="23095C62" w14:textId="77777777" w:rsidR="00C8170F" w:rsidRPr="0011380C" w:rsidRDefault="00C8170F" w:rsidP="00B70EE8">
            <w:pPr>
              <w:pStyle w:val="NoSpacing"/>
              <w:spacing w:before="0" w:line="276" w:lineRule="auto"/>
              <w:rPr>
                <w:rFonts w:ascii="Times New Roman" w:hAnsi="Times New Roman" w:cs="Times New Roman"/>
                <w:b w:val="0"/>
                <w:sz w:val="24"/>
                <w:szCs w:val="24"/>
              </w:rPr>
            </w:pPr>
            <w:r w:rsidRPr="0011380C">
              <w:rPr>
                <w:rFonts w:ascii="Times New Roman" w:hAnsi="Times New Roman" w:cs="Times New Roman"/>
                <w:sz w:val="24"/>
                <w:szCs w:val="24"/>
              </w:rPr>
              <w:t>DOKUMENT</w:t>
            </w:r>
          </w:p>
        </w:tc>
        <w:tc>
          <w:tcPr>
            <w:tcW w:w="7202" w:type="dxa"/>
            <w:tcBorders>
              <w:left w:val="single" w:sz="4" w:space="0" w:color="FFFFFF" w:themeColor="background1"/>
            </w:tcBorders>
          </w:tcPr>
          <w:p w14:paraId="3929D958" w14:textId="77777777" w:rsidR="00C8170F" w:rsidRPr="0011380C" w:rsidRDefault="00C8170F" w:rsidP="00B70EE8">
            <w:pPr>
              <w:pStyle w:val="NoSpacing"/>
              <w:spacing w:before="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1380C">
              <w:rPr>
                <w:rFonts w:ascii="Times New Roman" w:hAnsi="Times New Roman" w:cs="Times New Roman"/>
                <w:sz w:val="24"/>
                <w:szCs w:val="24"/>
              </w:rPr>
              <w:t>RELEVANTNI SADRŽAJ</w:t>
            </w:r>
          </w:p>
        </w:tc>
      </w:tr>
      <w:tr w:rsidR="0092230F" w:rsidRPr="0092230F" w14:paraId="13ED6BC5" w14:textId="77777777" w:rsidTr="0011380C">
        <w:trPr>
          <w:cnfStyle w:val="000000100000" w:firstRow="0" w:lastRow="0" w:firstColumn="0" w:lastColumn="0" w:oddVBand="0" w:evenVBand="0" w:oddHBand="1" w:evenHBand="0" w:firstRowFirstColumn="0" w:firstRowLastColumn="0" w:lastRowFirstColumn="0" w:lastRowLastColumn="0"/>
          <w:trHeight w:val="1897"/>
        </w:trPr>
        <w:tc>
          <w:tcPr>
            <w:cnfStyle w:val="001000000000" w:firstRow="0" w:lastRow="0" w:firstColumn="1" w:lastColumn="0" w:oddVBand="0" w:evenVBand="0" w:oddHBand="0" w:evenHBand="0" w:firstRowFirstColumn="0" w:firstRowLastColumn="0" w:lastRowFirstColumn="0" w:lastRowLastColumn="0"/>
            <w:tcW w:w="2088" w:type="dxa"/>
          </w:tcPr>
          <w:p w14:paraId="7D249298" w14:textId="77777777" w:rsidR="00C8170F" w:rsidRPr="0011380C" w:rsidRDefault="00C8170F" w:rsidP="00B70EE8">
            <w:pPr>
              <w:pStyle w:val="NoSpacing"/>
              <w:spacing w:before="0" w:line="276" w:lineRule="auto"/>
              <w:rPr>
                <w:rFonts w:ascii="Times New Roman" w:hAnsi="Times New Roman" w:cs="Times New Roman"/>
                <w:b w:val="0"/>
                <w:sz w:val="24"/>
                <w:szCs w:val="24"/>
              </w:rPr>
            </w:pPr>
            <w:r w:rsidRPr="0011380C">
              <w:rPr>
                <w:rFonts w:ascii="Times New Roman" w:hAnsi="Times New Roman" w:cs="Times New Roman"/>
                <w:sz w:val="24"/>
                <w:szCs w:val="24"/>
              </w:rPr>
              <w:t>Nacionalna razvojna strategija Republike Hrvatske do 2030. godine</w:t>
            </w:r>
          </w:p>
        </w:tc>
        <w:tc>
          <w:tcPr>
            <w:tcW w:w="7202" w:type="dxa"/>
            <w:shd w:val="clear" w:color="auto" w:fill="DEEAF6" w:themeFill="accent1" w:themeFillTint="33"/>
          </w:tcPr>
          <w:p w14:paraId="0F7808A7" w14:textId="5CB9EAC2" w:rsidR="00C8170F" w:rsidRPr="0092230F" w:rsidRDefault="00C8170F" w:rsidP="00B70EE8">
            <w:pPr>
              <w:pStyle w:val="NoSpacing"/>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2230F">
              <w:rPr>
                <w:rFonts w:ascii="Times New Roman" w:hAnsi="Times New Roman" w:cs="Times New Roman"/>
                <w:bCs/>
                <w:sz w:val="24"/>
                <w:szCs w:val="24"/>
              </w:rPr>
              <w:t>RAZVOJNI SMJER 4.</w:t>
            </w:r>
            <w:r w:rsidR="00917576" w:rsidRPr="0092230F">
              <w:rPr>
                <w:rFonts w:ascii="Times New Roman" w:hAnsi="Times New Roman" w:cs="Times New Roman"/>
                <w:bCs/>
                <w:sz w:val="24"/>
                <w:szCs w:val="24"/>
              </w:rPr>
              <w:t>:</w:t>
            </w:r>
            <w:r w:rsidRPr="0092230F">
              <w:rPr>
                <w:rFonts w:ascii="Times New Roman" w:hAnsi="Times New Roman" w:cs="Times New Roman"/>
                <w:bCs/>
                <w:sz w:val="24"/>
                <w:szCs w:val="24"/>
              </w:rPr>
              <w:t xml:space="preserve"> RAVNOMJERNI REGIONALNI RAZVOJ</w:t>
            </w:r>
          </w:p>
          <w:p w14:paraId="0AF0A033" w14:textId="77777777" w:rsidR="00917576" w:rsidRPr="0092230F" w:rsidRDefault="00917576" w:rsidP="00B70EE8">
            <w:pPr>
              <w:pStyle w:val="NoSpacing"/>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2230F">
              <w:rPr>
                <w:rFonts w:ascii="Times New Roman" w:hAnsi="Times New Roman" w:cs="Times New Roman"/>
                <w:bCs/>
                <w:sz w:val="24"/>
                <w:szCs w:val="24"/>
              </w:rPr>
              <w:t xml:space="preserve">Strateški cilj 12.: Razvoj potpomognutih područja i područja s razvojnim posebnostima </w:t>
            </w:r>
          </w:p>
          <w:p w14:paraId="4C3E7A7A" w14:textId="77777777" w:rsidR="00C8170F" w:rsidRPr="0092230F" w:rsidRDefault="006D19CE" w:rsidP="00B70EE8">
            <w:pPr>
              <w:pStyle w:val="NoSpacing"/>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92230F">
              <w:rPr>
                <w:rFonts w:ascii="Times New Roman" w:hAnsi="Times New Roman" w:cs="Times New Roman"/>
                <w:bCs/>
                <w:i/>
                <w:sz w:val="24"/>
                <w:szCs w:val="24"/>
              </w:rPr>
              <w:t>Cilj 12.: prioritetno područje javnih politika 1.: Razvoj potpomognutih i brdsko-planinskih područja</w:t>
            </w:r>
          </w:p>
        </w:tc>
      </w:tr>
      <w:tr w:rsidR="0092230F" w:rsidRPr="0092230F" w14:paraId="7A2E69D8" w14:textId="77777777" w:rsidTr="0011380C">
        <w:trPr>
          <w:trHeight w:val="20"/>
        </w:trPr>
        <w:tc>
          <w:tcPr>
            <w:cnfStyle w:val="001000000000" w:firstRow="0" w:lastRow="0" w:firstColumn="1" w:lastColumn="0" w:oddVBand="0" w:evenVBand="0" w:oddHBand="0" w:evenHBand="0" w:firstRowFirstColumn="0" w:firstRowLastColumn="0" w:lastRowFirstColumn="0" w:lastRowLastColumn="0"/>
            <w:tcW w:w="2088" w:type="dxa"/>
          </w:tcPr>
          <w:p w14:paraId="164C290E" w14:textId="2F18435F" w:rsidR="00C8170F" w:rsidRPr="0011380C" w:rsidRDefault="00DE04FC" w:rsidP="00B70EE8">
            <w:pPr>
              <w:pStyle w:val="NoSpacing"/>
              <w:spacing w:before="0" w:line="276" w:lineRule="auto"/>
              <w:rPr>
                <w:rFonts w:ascii="Times New Roman" w:hAnsi="Times New Roman" w:cs="Times New Roman"/>
                <w:b w:val="0"/>
                <w:sz w:val="24"/>
                <w:szCs w:val="24"/>
              </w:rPr>
            </w:pPr>
            <w:r w:rsidRPr="0011380C">
              <w:rPr>
                <w:rFonts w:ascii="Times New Roman" w:hAnsi="Times New Roman" w:cs="Times New Roman"/>
                <w:sz w:val="24"/>
                <w:szCs w:val="24"/>
              </w:rPr>
              <w:t>P</w:t>
            </w:r>
            <w:r w:rsidR="00917576" w:rsidRPr="0011380C">
              <w:rPr>
                <w:rFonts w:ascii="Times New Roman" w:hAnsi="Times New Roman" w:cs="Times New Roman"/>
                <w:sz w:val="24"/>
                <w:szCs w:val="24"/>
              </w:rPr>
              <w:t xml:space="preserve">rogram Vlade Republike Hrvatske 2020. - 2024. </w:t>
            </w:r>
          </w:p>
        </w:tc>
        <w:tc>
          <w:tcPr>
            <w:tcW w:w="7202" w:type="dxa"/>
          </w:tcPr>
          <w:p w14:paraId="02CFB251" w14:textId="77777777" w:rsidR="00C8170F" w:rsidRPr="0092230F" w:rsidRDefault="00917576" w:rsidP="00B70EE8">
            <w:pPr>
              <w:pStyle w:val="NoSpacing"/>
              <w:spacing w:before="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2230F">
              <w:rPr>
                <w:rFonts w:ascii="Times New Roman" w:hAnsi="Times New Roman" w:cs="Times New Roman"/>
                <w:bCs/>
                <w:sz w:val="24"/>
                <w:szCs w:val="24"/>
              </w:rPr>
              <w:t>PRIORITET 2.: PERSPEKTIVNA BUDUĆNOST</w:t>
            </w:r>
          </w:p>
          <w:p w14:paraId="74F871B0" w14:textId="77777777" w:rsidR="00917576" w:rsidRPr="0092230F" w:rsidRDefault="00B40319" w:rsidP="00B70EE8">
            <w:pPr>
              <w:pStyle w:val="NoSpacing"/>
              <w:spacing w:before="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2230F">
              <w:rPr>
                <w:rFonts w:ascii="Times New Roman" w:hAnsi="Times New Roman" w:cs="Times New Roman"/>
                <w:bCs/>
                <w:sz w:val="24"/>
                <w:szCs w:val="24"/>
              </w:rPr>
              <w:t>Cilj 2.1</w:t>
            </w:r>
            <w:r w:rsidR="00917576" w:rsidRPr="0092230F">
              <w:rPr>
                <w:rFonts w:ascii="Times New Roman" w:hAnsi="Times New Roman" w:cs="Times New Roman"/>
                <w:bCs/>
                <w:sz w:val="24"/>
                <w:szCs w:val="24"/>
              </w:rPr>
              <w:t xml:space="preserve">.: </w:t>
            </w:r>
            <w:r w:rsidR="008E4191" w:rsidRPr="0092230F">
              <w:rPr>
                <w:rFonts w:ascii="Times New Roman" w:hAnsi="Times New Roman" w:cs="Times New Roman"/>
                <w:bCs/>
                <w:sz w:val="24"/>
                <w:szCs w:val="24"/>
              </w:rPr>
              <w:t xml:space="preserve">Gospodarski oporavak i poslovno okruženje </w:t>
            </w:r>
          </w:p>
        </w:tc>
      </w:tr>
      <w:tr w:rsidR="0092230F" w:rsidRPr="0092230F" w14:paraId="699085EE" w14:textId="77777777" w:rsidTr="001138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88" w:type="dxa"/>
          </w:tcPr>
          <w:p w14:paraId="619F6C71" w14:textId="77777777" w:rsidR="00C8170F" w:rsidRPr="0011380C" w:rsidRDefault="00C8170F" w:rsidP="00B70EE8">
            <w:pPr>
              <w:pStyle w:val="NoSpacing"/>
              <w:spacing w:before="0" w:line="276" w:lineRule="auto"/>
              <w:rPr>
                <w:rFonts w:ascii="Times New Roman" w:hAnsi="Times New Roman" w:cs="Times New Roman"/>
                <w:b w:val="0"/>
                <w:sz w:val="24"/>
                <w:szCs w:val="24"/>
              </w:rPr>
            </w:pPr>
            <w:r w:rsidRPr="0011380C">
              <w:rPr>
                <w:rFonts w:ascii="Times New Roman" w:hAnsi="Times New Roman" w:cs="Times New Roman"/>
                <w:sz w:val="24"/>
                <w:szCs w:val="24"/>
              </w:rPr>
              <w:t>Pro</w:t>
            </w:r>
            <w:r w:rsidR="00917576" w:rsidRPr="0011380C">
              <w:rPr>
                <w:rFonts w:ascii="Times New Roman" w:hAnsi="Times New Roman" w:cs="Times New Roman"/>
                <w:sz w:val="24"/>
                <w:szCs w:val="24"/>
              </w:rPr>
              <w:t xml:space="preserve">vedbeni program MRRFEU za razdoblje </w:t>
            </w:r>
            <w:r w:rsidR="00A75188" w:rsidRPr="0011380C">
              <w:rPr>
                <w:rFonts w:ascii="Times New Roman" w:hAnsi="Times New Roman" w:cs="Times New Roman"/>
                <w:sz w:val="24"/>
                <w:szCs w:val="24"/>
              </w:rPr>
              <w:t xml:space="preserve">od 2021. do </w:t>
            </w:r>
            <w:r w:rsidR="00917576" w:rsidRPr="0011380C">
              <w:rPr>
                <w:rFonts w:ascii="Times New Roman" w:hAnsi="Times New Roman" w:cs="Times New Roman"/>
                <w:sz w:val="24"/>
                <w:szCs w:val="24"/>
              </w:rPr>
              <w:t xml:space="preserve">2024. </w:t>
            </w:r>
          </w:p>
        </w:tc>
        <w:tc>
          <w:tcPr>
            <w:tcW w:w="7202" w:type="dxa"/>
            <w:shd w:val="clear" w:color="auto" w:fill="DEEAF6" w:themeFill="accent1" w:themeFillTint="33"/>
          </w:tcPr>
          <w:p w14:paraId="3C101753" w14:textId="77777777" w:rsidR="00C8170F" w:rsidRPr="0092230F" w:rsidRDefault="00F44A31" w:rsidP="00B70EE8">
            <w:pPr>
              <w:pStyle w:val="NoSpacing"/>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2230F">
              <w:rPr>
                <w:rFonts w:ascii="Times New Roman" w:hAnsi="Times New Roman" w:cs="Times New Roman"/>
                <w:bCs/>
                <w:sz w:val="24"/>
                <w:szCs w:val="24"/>
              </w:rPr>
              <w:t>PRIORITET 1.: RAVNOMJERAN RAZVOJ SVIH PODRUČJA</w:t>
            </w:r>
            <w:r w:rsidR="00C8170F" w:rsidRPr="0092230F">
              <w:rPr>
                <w:rFonts w:ascii="Times New Roman" w:hAnsi="Times New Roman" w:cs="Times New Roman"/>
                <w:bCs/>
                <w:sz w:val="24"/>
                <w:szCs w:val="24"/>
              </w:rPr>
              <w:t xml:space="preserve"> HRVATSKE</w:t>
            </w:r>
          </w:p>
          <w:p w14:paraId="505B90AF" w14:textId="77777777" w:rsidR="00C8170F" w:rsidRPr="0092230F" w:rsidRDefault="00F44A31" w:rsidP="00B70EE8">
            <w:pPr>
              <w:pStyle w:val="NoSpacing"/>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2230F">
              <w:rPr>
                <w:rFonts w:ascii="Times New Roman" w:hAnsi="Times New Roman" w:cs="Times New Roman"/>
                <w:bCs/>
                <w:sz w:val="24"/>
                <w:szCs w:val="24"/>
              </w:rPr>
              <w:t>Mjera 4.: Poticanje ulaganja na potpomognutim područjima</w:t>
            </w:r>
          </w:p>
          <w:p w14:paraId="63CA78FE" w14:textId="77777777" w:rsidR="00F44A31" w:rsidRPr="0092230F" w:rsidRDefault="00F44A31" w:rsidP="00B70EE8">
            <w:pPr>
              <w:pStyle w:val="NoSpacing"/>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2230F">
              <w:rPr>
                <w:rFonts w:ascii="Times New Roman" w:hAnsi="Times New Roman" w:cs="Times New Roman"/>
                <w:bCs/>
                <w:sz w:val="24"/>
                <w:szCs w:val="24"/>
              </w:rPr>
              <w:t xml:space="preserve">Mjera 8.: Društveni i gospodarski razvoj potpomognutih područja </w:t>
            </w:r>
          </w:p>
        </w:tc>
      </w:tr>
    </w:tbl>
    <w:p w14:paraId="686EFD9C" w14:textId="77777777" w:rsidR="00C8170F" w:rsidRPr="00C0186C" w:rsidRDefault="00C8170F" w:rsidP="00B70EE8">
      <w:pPr>
        <w:pStyle w:val="NoSpacing"/>
        <w:spacing w:before="0" w:line="276" w:lineRule="auto"/>
        <w:jc w:val="both"/>
        <w:rPr>
          <w:rFonts w:ascii="Times New Roman" w:hAnsi="Times New Roman" w:cs="Times New Roman"/>
          <w:sz w:val="24"/>
          <w:szCs w:val="24"/>
        </w:rPr>
      </w:pPr>
    </w:p>
    <w:p w14:paraId="05043712" w14:textId="69A38407" w:rsidR="00C8170F" w:rsidRPr="00C0186C" w:rsidRDefault="00A06F29"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Na 6. sjednici </w:t>
      </w:r>
      <w:r w:rsidR="00F70457" w:rsidRPr="00C0186C">
        <w:rPr>
          <w:rFonts w:ascii="Times New Roman" w:hAnsi="Times New Roman" w:cs="Times New Roman"/>
          <w:sz w:val="24"/>
          <w:szCs w:val="24"/>
        </w:rPr>
        <w:t>10. saziva Hrvatskog Sabora</w:t>
      </w:r>
      <w:r w:rsidR="00661157" w:rsidRPr="00C0186C">
        <w:rPr>
          <w:rFonts w:ascii="Times New Roman" w:hAnsi="Times New Roman" w:cs="Times New Roman"/>
          <w:sz w:val="24"/>
          <w:szCs w:val="24"/>
        </w:rPr>
        <w:t xml:space="preserve"> 05. </w:t>
      </w:r>
      <w:r w:rsidR="0063357D" w:rsidRPr="00C0186C">
        <w:rPr>
          <w:rFonts w:ascii="Times New Roman" w:hAnsi="Times New Roman" w:cs="Times New Roman"/>
          <w:sz w:val="24"/>
          <w:szCs w:val="24"/>
        </w:rPr>
        <w:t>veljače</w:t>
      </w:r>
      <w:r w:rsidR="003109A8" w:rsidRPr="00C0186C">
        <w:rPr>
          <w:rFonts w:ascii="Times New Roman" w:hAnsi="Times New Roman" w:cs="Times New Roman"/>
          <w:sz w:val="24"/>
          <w:szCs w:val="24"/>
        </w:rPr>
        <w:t xml:space="preserve"> </w:t>
      </w:r>
      <w:r w:rsidR="00661157" w:rsidRPr="00C0186C">
        <w:rPr>
          <w:rFonts w:ascii="Times New Roman" w:hAnsi="Times New Roman" w:cs="Times New Roman"/>
          <w:sz w:val="24"/>
          <w:szCs w:val="24"/>
        </w:rPr>
        <w:t>2021. godine,</w:t>
      </w:r>
      <w:r w:rsidR="00F70457" w:rsidRPr="00C0186C">
        <w:rPr>
          <w:rFonts w:ascii="Times New Roman" w:hAnsi="Times New Roman" w:cs="Times New Roman"/>
          <w:sz w:val="24"/>
          <w:szCs w:val="24"/>
        </w:rPr>
        <w:t xml:space="preserve"> usvojena je </w:t>
      </w:r>
      <w:r w:rsidR="00F70457" w:rsidRPr="00C0186C">
        <w:rPr>
          <w:rFonts w:ascii="Times New Roman" w:hAnsi="Times New Roman" w:cs="Times New Roman"/>
          <w:b/>
          <w:sz w:val="24"/>
          <w:szCs w:val="24"/>
        </w:rPr>
        <w:t>Nacionalna razvojna strategija Republike Hrvatske do 2030.</w:t>
      </w:r>
      <w:r w:rsidR="00313841" w:rsidRPr="00C0186C">
        <w:rPr>
          <w:rFonts w:ascii="Times New Roman" w:hAnsi="Times New Roman" w:cs="Times New Roman"/>
          <w:b/>
          <w:sz w:val="24"/>
          <w:szCs w:val="24"/>
        </w:rPr>
        <w:t xml:space="preserve"> </w:t>
      </w:r>
      <w:r w:rsidR="00F70457" w:rsidRPr="00C0186C">
        <w:rPr>
          <w:rFonts w:ascii="Times New Roman" w:hAnsi="Times New Roman" w:cs="Times New Roman"/>
          <w:b/>
          <w:sz w:val="24"/>
          <w:szCs w:val="24"/>
        </w:rPr>
        <w:t>godine</w:t>
      </w:r>
      <w:r w:rsidR="00661157" w:rsidRPr="00C0186C">
        <w:rPr>
          <w:rFonts w:ascii="Times New Roman" w:hAnsi="Times New Roman" w:cs="Times New Roman"/>
          <w:b/>
          <w:sz w:val="24"/>
          <w:szCs w:val="24"/>
        </w:rPr>
        <w:t xml:space="preserve"> (</w:t>
      </w:r>
      <w:r w:rsidR="00954EBB" w:rsidRPr="00954EBB">
        <w:rPr>
          <w:rFonts w:ascii="Times New Roman" w:hAnsi="Times New Roman" w:cs="Times New Roman"/>
          <w:bCs/>
          <w:sz w:val="24"/>
          <w:szCs w:val="24"/>
        </w:rPr>
        <w:t>u daljnjem tekstu</w:t>
      </w:r>
      <w:r w:rsidR="00954EBB">
        <w:rPr>
          <w:rFonts w:ascii="Times New Roman" w:hAnsi="Times New Roman" w:cs="Times New Roman"/>
          <w:b/>
          <w:sz w:val="24"/>
          <w:szCs w:val="24"/>
        </w:rPr>
        <w:t xml:space="preserve"> </w:t>
      </w:r>
      <w:r w:rsidR="00661157" w:rsidRPr="00954EBB">
        <w:rPr>
          <w:rFonts w:ascii="Times New Roman" w:hAnsi="Times New Roman" w:cs="Times New Roman"/>
          <w:b/>
          <w:sz w:val="24"/>
          <w:szCs w:val="24"/>
        </w:rPr>
        <w:t>NRSRH 2030</w:t>
      </w:r>
      <w:r w:rsidR="00313841" w:rsidRPr="00954EBB">
        <w:rPr>
          <w:rFonts w:ascii="Times New Roman" w:hAnsi="Times New Roman" w:cs="Times New Roman"/>
          <w:b/>
          <w:sz w:val="24"/>
          <w:szCs w:val="24"/>
        </w:rPr>
        <w:t>.</w:t>
      </w:r>
      <w:r w:rsidR="00661157" w:rsidRPr="00954EBB">
        <w:rPr>
          <w:rFonts w:ascii="Times New Roman" w:hAnsi="Times New Roman" w:cs="Times New Roman"/>
          <w:bCs/>
          <w:sz w:val="24"/>
          <w:szCs w:val="24"/>
        </w:rPr>
        <w:t>)</w:t>
      </w:r>
      <w:r w:rsidR="00F70457" w:rsidRPr="00954EBB">
        <w:rPr>
          <w:rFonts w:ascii="Times New Roman" w:hAnsi="Times New Roman" w:cs="Times New Roman"/>
          <w:bCs/>
          <w:sz w:val="24"/>
          <w:szCs w:val="24"/>
        </w:rPr>
        <w:t>.</w:t>
      </w:r>
      <w:r w:rsidR="00F70457" w:rsidRPr="00C0186C">
        <w:rPr>
          <w:rFonts w:ascii="Times New Roman" w:hAnsi="Times New Roman" w:cs="Times New Roman"/>
          <w:sz w:val="24"/>
          <w:szCs w:val="24"/>
        </w:rPr>
        <w:t xml:space="preserve"> U sustavu strateškog planiranja razvojem Nacionalna razvojna strategija predstavlja najviši hijerarhijski akt</w:t>
      </w:r>
      <w:r w:rsidR="00661157" w:rsidRPr="00C0186C">
        <w:rPr>
          <w:rFonts w:ascii="Times New Roman" w:hAnsi="Times New Roman" w:cs="Times New Roman"/>
          <w:sz w:val="24"/>
          <w:szCs w:val="24"/>
        </w:rPr>
        <w:t xml:space="preserve"> te svi</w:t>
      </w:r>
      <w:r w:rsidR="00F70457" w:rsidRPr="00C0186C">
        <w:rPr>
          <w:rFonts w:ascii="Times New Roman" w:hAnsi="Times New Roman" w:cs="Times New Roman"/>
          <w:sz w:val="24"/>
          <w:szCs w:val="24"/>
        </w:rPr>
        <w:t xml:space="preserve"> ostali dugoročni, srednjoročni i kratkoročni dokumenti planiranja razvojem na čitavom</w:t>
      </w:r>
      <w:r w:rsidR="00661157" w:rsidRPr="00C0186C">
        <w:rPr>
          <w:rFonts w:ascii="Times New Roman" w:hAnsi="Times New Roman" w:cs="Times New Roman"/>
          <w:sz w:val="24"/>
          <w:szCs w:val="24"/>
        </w:rPr>
        <w:t xml:space="preserve"> teritoriju</w:t>
      </w:r>
      <w:r w:rsidR="00F70457" w:rsidRPr="00C0186C">
        <w:rPr>
          <w:rFonts w:ascii="Times New Roman" w:hAnsi="Times New Roman" w:cs="Times New Roman"/>
          <w:sz w:val="24"/>
          <w:szCs w:val="24"/>
        </w:rPr>
        <w:t xml:space="preserve"> ili specifičnim područjima RH</w:t>
      </w:r>
      <w:r w:rsidR="00E1128D" w:rsidRPr="00C0186C">
        <w:rPr>
          <w:rFonts w:ascii="Times New Roman" w:hAnsi="Times New Roman" w:cs="Times New Roman"/>
          <w:sz w:val="24"/>
          <w:szCs w:val="24"/>
        </w:rPr>
        <w:t xml:space="preserve"> </w:t>
      </w:r>
      <w:r w:rsidR="00661157" w:rsidRPr="00C0186C">
        <w:rPr>
          <w:rFonts w:ascii="Times New Roman" w:hAnsi="Times New Roman" w:cs="Times New Roman"/>
          <w:sz w:val="24"/>
          <w:szCs w:val="24"/>
        </w:rPr>
        <w:t xml:space="preserve">trebaju slijediti razvojne smjernice, ciljeve i prioritete ovog </w:t>
      </w:r>
      <w:r w:rsidR="00313841" w:rsidRPr="00C0186C">
        <w:rPr>
          <w:rFonts w:ascii="Times New Roman" w:hAnsi="Times New Roman" w:cs="Times New Roman"/>
          <w:sz w:val="24"/>
          <w:szCs w:val="24"/>
        </w:rPr>
        <w:t>dokumenta. Zbog toga NRSRH 2030.</w:t>
      </w:r>
      <w:r w:rsidR="00661157" w:rsidRPr="00C0186C">
        <w:rPr>
          <w:rFonts w:ascii="Times New Roman" w:hAnsi="Times New Roman" w:cs="Times New Roman"/>
          <w:sz w:val="24"/>
          <w:szCs w:val="24"/>
        </w:rPr>
        <w:t xml:space="preserve"> predstavlja polazni strateški okvir izrade ovog Programa. </w:t>
      </w:r>
      <w:r w:rsidR="00076B2B" w:rsidRPr="00C0186C">
        <w:rPr>
          <w:rFonts w:ascii="Times New Roman" w:hAnsi="Times New Roman" w:cs="Times New Roman"/>
          <w:sz w:val="24"/>
          <w:szCs w:val="24"/>
        </w:rPr>
        <w:t>Za</w:t>
      </w:r>
      <w:r w:rsidR="00661157" w:rsidRPr="00C0186C">
        <w:rPr>
          <w:rFonts w:ascii="Times New Roman" w:hAnsi="Times New Roman" w:cs="Times New Roman"/>
          <w:sz w:val="24"/>
          <w:szCs w:val="24"/>
        </w:rPr>
        <w:t xml:space="preserve"> </w:t>
      </w:r>
      <w:r w:rsidR="00076B2B" w:rsidRPr="00C0186C">
        <w:rPr>
          <w:rFonts w:ascii="Times New Roman" w:hAnsi="Times New Roman" w:cs="Times New Roman"/>
          <w:sz w:val="24"/>
          <w:szCs w:val="24"/>
        </w:rPr>
        <w:t xml:space="preserve">ostvarenje razvojne vizije kao konkurentne, kreativne i sigurne zemlje, prepoznatljivog identiteta i kulture, kvalitetnih životnih uvjeta, očuvanih prirodnih resursa i jednakih prilika za sve, NRSRH 2030. ponudila je četiri razvojna smjera i značajan broj razvojnih prioriteta, te djelovanja javnih politika. Jedan od razvojnih smjerova odnosi se upravo na ravnomjerni regionalni razvoj (razvojni smjer 4). Argumentirajući važnost ovog smjera, </w:t>
      </w:r>
      <w:r w:rsidR="00313841" w:rsidRPr="00C0186C">
        <w:rPr>
          <w:rFonts w:ascii="Times New Roman" w:hAnsi="Times New Roman" w:cs="Times New Roman"/>
          <w:sz w:val="24"/>
          <w:szCs w:val="24"/>
        </w:rPr>
        <w:t xml:space="preserve">u dokumentu se navodi </w:t>
      </w:r>
      <w:r w:rsidR="00076B2B" w:rsidRPr="00C0186C">
        <w:rPr>
          <w:rFonts w:ascii="Times New Roman" w:hAnsi="Times New Roman" w:cs="Times New Roman"/>
          <w:sz w:val="24"/>
          <w:szCs w:val="24"/>
        </w:rPr>
        <w:t xml:space="preserve">sljedeće: „Podupiranjem teritorijalnih strategija, vođenih na regionalnoj razini, te poticajnim mjerama za aktivaciju svih neiskorištenih potencijala, osobito zemljišta i nekretnina, omogućit će se ravnomjerniji regionalni razvoj te pridonijeti boljem standardu i kvaliteti života svih dijelova Hrvatske. Tim će se strategijama, između ostalog, potaknuti razvoj potpomognutih područja i područja s razvojnim posebnostima (brdsko-planinska područja i otoci), jačati regionalna konkurentnost kroz pametnu specijalizaciju i jačati uloga gradova u policentričnom razvoju urbanih područja.“ </w:t>
      </w:r>
    </w:p>
    <w:p w14:paraId="0DC16883" w14:textId="77777777" w:rsidR="00076B2B" w:rsidRPr="00C0186C" w:rsidRDefault="00076B2B" w:rsidP="00B70EE8">
      <w:pPr>
        <w:pStyle w:val="NoSpacing"/>
        <w:spacing w:before="0" w:line="276" w:lineRule="auto"/>
        <w:jc w:val="both"/>
        <w:rPr>
          <w:rFonts w:ascii="Times New Roman" w:hAnsi="Times New Roman" w:cs="Times New Roman"/>
          <w:sz w:val="24"/>
          <w:szCs w:val="24"/>
        </w:rPr>
      </w:pPr>
    </w:p>
    <w:p w14:paraId="4FD31B31" w14:textId="77777777" w:rsidR="00F6136B" w:rsidRPr="00C0186C" w:rsidRDefault="00076B2B"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Sukladno tome, </w:t>
      </w:r>
      <w:r w:rsidR="00620C43" w:rsidRPr="00C0186C">
        <w:rPr>
          <w:rFonts w:ascii="Times New Roman" w:hAnsi="Times New Roman" w:cs="Times New Roman"/>
          <w:sz w:val="24"/>
          <w:szCs w:val="24"/>
        </w:rPr>
        <w:t xml:space="preserve">u NRSRH 2030. </w:t>
      </w:r>
      <w:r w:rsidR="00313841" w:rsidRPr="00C0186C">
        <w:rPr>
          <w:rFonts w:ascii="Times New Roman" w:hAnsi="Times New Roman" w:cs="Times New Roman"/>
          <w:sz w:val="24"/>
          <w:szCs w:val="24"/>
        </w:rPr>
        <w:t>izdvaja</w:t>
      </w:r>
      <w:r w:rsidR="00620C43" w:rsidRPr="00C0186C">
        <w:rPr>
          <w:rFonts w:ascii="Times New Roman" w:hAnsi="Times New Roman" w:cs="Times New Roman"/>
          <w:sz w:val="24"/>
          <w:szCs w:val="24"/>
        </w:rPr>
        <w:t xml:space="preserve"> se strateški cilj 12.: </w:t>
      </w:r>
      <w:r w:rsidR="00620C43" w:rsidRPr="00C0186C">
        <w:rPr>
          <w:rFonts w:ascii="Times New Roman" w:hAnsi="Times New Roman" w:cs="Times New Roman"/>
          <w:b/>
          <w:i/>
          <w:sz w:val="24"/>
          <w:szCs w:val="24"/>
        </w:rPr>
        <w:t>Razvoj potpomognutih područja i područja s razvojnim posebnostima</w:t>
      </w:r>
      <w:r w:rsidR="00620C43" w:rsidRPr="00C0186C">
        <w:rPr>
          <w:rFonts w:ascii="Times New Roman" w:hAnsi="Times New Roman" w:cs="Times New Roman"/>
          <w:sz w:val="24"/>
          <w:szCs w:val="24"/>
        </w:rPr>
        <w:t xml:space="preserve">. Realizacija ovog cilja kroz provedbu brojnih drugih strateških akata, programa razvoja i operativnih, provedbenih programa mora polučiti smanjenje razvojnih disproporcija koje kao dugoročni problem RH predstavljaju značajno ograničenje svih razvojnih dimenzija: ekonomskih, </w:t>
      </w:r>
      <w:r w:rsidR="006D19CE" w:rsidRPr="00C0186C">
        <w:rPr>
          <w:rFonts w:ascii="Times New Roman" w:hAnsi="Times New Roman" w:cs="Times New Roman"/>
          <w:sz w:val="24"/>
          <w:szCs w:val="24"/>
        </w:rPr>
        <w:t xml:space="preserve">društvenih, infrastrukturnih i drugih. </w:t>
      </w:r>
      <w:r w:rsidR="00834F74" w:rsidRPr="00C0186C">
        <w:rPr>
          <w:rFonts w:ascii="Times New Roman" w:hAnsi="Times New Roman" w:cs="Times New Roman"/>
          <w:sz w:val="24"/>
          <w:szCs w:val="24"/>
        </w:rPr>
        <w:t xml:space="preserve">Zbog toga </w:t>
      </w:r>
      <w:r w:rsidR="006E52A1" w:rsidRPr="00C0186C">
        <w:rPr>
          <w:rFonts w:ascii="Times New Roman" w:hAnsi="Times New Roman" w:cs="Times New Roman"/>
          <w:sz w:val="24"/>
          <w:szCs w:val="24"/>
        </w:rPr>
        <w:t>je</w:t>
      </w:r>
      <w:r w:rsidR="00834F74" w:rsidRPr="00C0186C">
        <w:rPr>
          <w:rFonts w:ascii="Times New Roman" w:hAnsi="Times New Roman" w:cs="Times New Roman"/>
          <w:sz w:val="24"/>
          <w:szCs w:val="24"/>
        </w:rPr>
        <w:t xml:space="preserve"> ovaj cilj u okviru NRSRH 2030. direktno </w:t>
      </w:r>
      <w:r w:rsidR="006E52A1" w:rsidRPr="00C0186C">
        <w:rPr>
          <w:rFonts w:ascii="Times New Roman" w:hAnsi="Times New Roman" w:cs="Times New Roman"/>
          <w:sz w:val="24"/>
          <w:szCs w:val="24"/>
        </w:rPr>
        <w:t xml:space="preserve">povezan sa sadržajem ovog Programa, posebice predloženih </w:t>
      </w:r>
      <w:r w:rsidR="00834F74" w:rsidRPr="00C0186C">
        <w:rPr>
          <w:rFonts w:ascii="Times New Roman" w:hAnsi="Times New Roman" w:cs="Times New Roman"/>
          <w:sz w:val="24"/>
          <w:szCs w:val="24"/>
        </w:rPr>
        <w:t xml:space="preserve"> </w:t>
      </w:r>
      <w:r w:rsidR="006E52A1" w:rsidRPr="00C0186C">
        <w:rPr>
          <w:rFonts w:ascii="Times New Roman" w:hAnsi="Times New Roman" w:cs="Times New Roman"/>
          <w:sz w:val="24"/>
          <w:szCs w:val="24"/>
        </w:rPr>
        <w:t>mjera i aktivnost</w:t>
      </w:r>
      <w:r w:rsidR="00E1128D" w:rsidRPr="00C0186C">
        <w:rPr>
          <w:rFonts w:ascii="Times New Roman" w:hAnsi="Times New Roman" w:cs="Times New Roman"/>
          <w:sz w:val="24"/>
          <w:szCs w:val="24"/>
        </w:rPr>
        <w:t>i</w:t>
      </w:r>
      <w:r w:rsidR="00834F74" w:rsidRPr="00C0186C">
        <w:rPr>
          <w:rFonts w:ascii="Times New Roman" w:hAnsi="Times New Roman" w:cs="Times New Roman"/>
          <w:sz w:val="24"/>
          <w:szCs w:val="24"/>
        </w:rPr>
        <w:t xml:space="preserve">. </w:t>
      </w:r>
      <w:r w:rsidR="00694A85" w:rsidRPr="00C0186C">
        <w:rPr>
          <w:rFonts w:ascii="Times New Roman" w:hAnsi="Times New Roman" w:cs="Times New Roman"/>
          <w:sz w:val="24"/>
          <w:szCs w:val="24"/>
        </w:rPr>
        <w:t xml:space="preserve">Prilikom definiranja  mjera i aktivnosti ovog Programa, također </w:t>
      </w:r>
      <w:r w:rsidR="006E52A1" w:rsidRPr="00C0186C">
        <w:rPr>
          <w:rFonts w:ascii="Times New Roman" w:hAnsi="Times New Roman" w:cs="Times New Roman"/>
          <w:sz w:val="24"/>
          <w:szCs w:val="24"/>
        </w:rPr>
        <w:t>se uvažavaju</w:t>
      </w:r>
      <w:r w:rsidR="00694A85" w:rsidRPr="00C0186C">
        <w:rPr>
          <w:rFonts w:ascii="Times New Roman" w:hAnsi="Times New Roman" w:cs="Times New Roman"/>
          <w:sz w:val="24"/>
          <w:szCs w:val="24"/>
        </w:rPr>
        <w:t xml:space="preserve"> usvojen</w:t>
      </w:r>
      <w:r w:rsidR="006E52A1" w:rsidRPr="00C0186C">
        <w:rPr>
          <w:rFonts w:ascii="Times New Roman" w:hAnsi="Times New Roman" w:cs="Times New Roman"/>
          <w:sz w:val="24"/>
          <w:szCs w:val="24"/>
        </w:rPr>
        <w:t>i</w:t>
      </w:r>
      <w:r w:rsidR="00694A85" w:rsidRPr="00C0186C">
        <w:rPr>
          <w:rFonts w:ascii="Times New Roman" w:hAnsi="Times New Roman" w:cs="Times New Roman"/>
          <w:sz w:val="24"/>
          <w:szCs w:val="24"/>
        </w:rPr>
        <w:t xml:space="preserve"> prioritet</w:t>
      </w:r>
      <w:r w:rsidR="006E52A1" w:rsidRPr="00C0186C">
        <w:rPr>
          <w:rFonts w:ascii="Times New Roman" w:hAnsi="Times New Roman" w:cs="Times New Roman"/>
          <w:sz w:val="24"/>
          <w:szCs w:val="24"/>
        </w:rPr>
        <w:t>i</w:t>
      </w:r>
      <w:r w:rsidR="00694A85" w:rsidRPr="00C0186C">
        <w:rPr>
          <w:rFonts w:ascii="Times New Roman" w:hAnsi="Times New Roman" w:cs="Times New Roman"/>
          <w:sz w:val="24"/>
          <w:szCs w:val="24"/>
        </w:rPr>
        <w:t xml:space="preserve"> </w:t>
      </w:r>
      <w:r w:rsidR="00834F74" w:rsidRPr="00C0186C">
        <w:rPr>
          <w:rFonts w:ascii="Times New Roman" w:hAnsi="Times New Roman" w:cs="Times New Roman"/>
          <w:sz w:val="24"/>
          <w:szCs w:val="24"/>
        </w:rPr>
        <w:t>NRSRH 2030.</w:t>
      </w:r>
      <w:r w:rsidR="00694A85" w:rsidRPr="00C0186C">
        <w:rPr>
          <w:rFonts w:ascii="Times New Roman" w:hAnsi="Times New Roman" w:cs="Times New Roman"/>
          <w:sz w:val="24"/>
          <w:szCs w:val="24"/>
        </w:rPr>
        <w:t>koji su povezani s</w:t>
      </w:r>
      <w:r w:rsidR="00834F74" w:rsidRPr="00C0186C">
        <w:rPr>
          <w:rFonts w:ascii="Times New Roman" w:hAnsi="Times New Roman" w:cs="Times New Roman"/>
          <w:sz w:val="24"/>
          <w:szCs w:val="24"/>
        </w:rPr>
        <w:t xml:space="preserve"> </w:t>
      </w:r>
      <w:r w:rsidR="006D19CE" w:rsidRPr="00C0186C">
        <w:rPr>
          <w:rFonts w:ascii="Times New Roman" w:hAnsi="Times New Roman" w:cs="Times New Roman"/>
          <w:sz w:val="24"/>
          <w:szCs w:val="24"/>
        </w:rPr>
        <w:t>jedn</w:t>
      </w:r>
      <w:r w:rsidR="00694A85" w:rsidRPr="00C0186C">
        <w:rPr>
          <w:rFonts w:ascii="Times New Roman" w:hAnsi="Times New Roman" w:cs="Times New Roman"/>
          <w:sz w:val="24"/>
          <w:szCs w:val="24"/>
        </w:rPr>
        <w:t>im</w:t>
      </w:r>
      <w:r w:rsidR="006D19CE" w:rsidRPr="00C0186C">
        <w:rPr>
          <w:rFonts w:ascii="Times New Roman" w:hAnsi="Times New Roman" w:cs="Times New Roman"/>
          <w:sz w:val="24"/>
          <w:szCs w:val="24"/>
        </w:rPr>
        <w:t xml:space="preserve"> od dva prioritetna područja djelovanja javnih politika za realizaciju </w:t>
      </w:r>
      <w:r w:rsidR="00834F74" w:rsidRPr="00C0186C">
        <w:rPr>
          <w:rFonts w:ascii="Times New Roman" w:hAnsi="Times New Roman" w:cs="Times New Roman"/>
          <w:sz w:val="24"/>
          <w:szCs w:val="24"/>
        </w:rPr>
        <w:t>strateškog</w:t>
      </w:r>
      <w:r w:rsidR="006D19CE" w:rsidRPr="00C0186C">
        <w:rPr>
          <w:rFonts w:ascii="Times New Roman" w:hAnsi="Times New Roman" w:cs="Times New Roman"/>
          <w:sz w:val="24"/>
          <w:szCs w:val="24"/>
        </w:rPr>
        <w:t xml:space="preserve"> cilja</w:t>
      </w:r>
      <w:r w:rsidR="006E52A1" w:rsidRPr="00C0186C">
        <w:rPr>
          <w:rFonts w:ascii="Times New Roman" w:hAnsi="Times New Roman" w:cs="Times New Roman"/>
          <w:sz w:val="24"/>
          <w:szCs w:val="24"/>
        </w:rPr>
        <w:t xml:space="preserve"> </w:t>
      </w:r>
      <w:r w:rsidR="00694A85" w:rsidRPr="00C0186C">
        <w:rPr>
          <w:rFonts w:ascii="Times New Roman" w:hAnsi="Times New Roman" w:cs="Times New Roman"/>
          <w:sz w:val="24"/>
          <w:szCs w:val="24"/>
        </w:rPr>
        <w:t>12.</w:t>
      </w:r>
      <w:r w:rsidR="006D19CE" w:rsidRPr="00C0186C">
        <w:rPr>
          <w:rFonts w:ascii="Times New Roman" w:hAnsi="Times New Roman" w:cs="Times New Roman"/>
          <w:sz w:val="24"/>
          <w:szCs w:val="24"/>
        </w:rPr>
        <w:t xml:space="preserve">: </w:t>
      </w:r>
      <w:r w:rsidR="006D19CE" w:rsidRPr="00C0186C">
        <w:rPr>
          <w:rFonts w:ascii="Times New Roman" w:hAnsi="Times New Roman" w:cs="Times New Roman"/>
          <w:i/>
          <w:sz w:val="24"/>
          <w:szCs w:val="24"/>
        </w:rPr>
        <w:t>Razvoj potpomognutih i brdsko-planinskih područja</w:t>
      </w:r>
      <w:r w:rsidR="00694A85" w:rsidRPr="00C0186C">
        <w:rPr>
          <w:rFonts w:ascii="Times New Roman" w:hAnsi="Times New Roman" w:cs="Times New Roman"/>
          <w:i/>
          <w:sz w:val="24"/>
          <w:szCs w:val="24"/>
        </w:rPr>
        <w:t>.</w:t>
      </w:r>
      <w:r w:rsidR="00694A85" w:rsidRPr="00C0186C">
        <w:rPr>
          <w:rFonts w:ascii="Times New Roman" w:hAnsi="Times New Roman" w:cs="Times New Roman"/>
          <w:sz w:val="24"/>
          <w:szCs w:val="24"/>
        </w:rPr>
        <w:t xml:space="preserve"> To su sljedeći </w:t>
      </w:r>
      <w:r w:rsidR="006D19CE" w:rsidRPr="00C0186C">
        <w:rPr>
          <w:rFonts w:ascii="Times New Roman" w:hAnsi="Times New Roman" w:cs="Times New Roman"/>
          <w:sz w:val="24"/>
          <w:szCs w:val="24"/>
        </w:rPr>
        <w:t xml:space="preserve"> </w:t>
      </w:r>
      <w:r w:rsidR="00F6136B" w:rsidRPr="00C0186C">
        <w:rPr>
          <w:rFonts w:ascii="Times New Roman" w:hAnsi="Times New Roman" w:cs="Times New Roman"/>
          <w:sz w:val="24"/>
          <w:szCs w:val="24"/>
        </w:rPr>
        <w:t>prioriteti:</w:t>
      </w:r>
    </w:p>
    <w:p w14:paraId="70C70A14" w14:textId="77777777" w:rsidR="006D19CE" w:rsidRPr="00C0186C" w:rsidRDefault="006D19CE" w:rsidP="00B70EE8">
      <w:pPr>
        <w:pStyle w:val="NoSpacing"/>
        <w:numPr>
          <w:ilvl w:val="0"/>
          <w:numId w:val="1"/>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demografska revitalizacija depriviranih područja </w:t>
      </w:r>
    </w:p>
    <w:p w14:paraId="1EDA94F5" w14:textId="77777777" w:rsidR="006D19CE" w:rsidRPr="00C0186C" w:rsidRDefault="006D19CE" w:rsidP="00B70EE8">
      <w:pPr>
        <w:pStyle w:val="NoSpacing"/>
        <w:numPr>
          <w:ilvl w:val="0"/>
          <w:numId w:val="1"/>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gospodarska regeneracija depriviranih područja </w:t>
      </w:r>
    </w:p>
    <w:p w14:paraId="42913FDD" w14:textId="77777777" w:rsidR="006D19CE" w:rsidRPr="00C0186C" w:rsidRDefault="006D19CE" w:rsidP="00B70EE8">
      <w:pPr>
        <w:pStyle w:val="NoSpacing"/>
        <w:numPr>
          <w:ilvl w:val="0"/>
          <w:numId w:val="1"/>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pametno upravljanje resursima </w:t>
      </w:r>
    </w:p>
    <w:p w14:paraId="594BD85A" w14:textId="77777777" w:rsidR="006D19CE" w:rsidRPr="00C0186C" w:rsidRDefault="006D19CE" w:rsidP="00B70EE8">
      <w:pPr>
        <w:pStyle w:val="NoSpacing"/>
        <w:numPr>
          <w:ilvl w:val="0"/>
          <w:numId w:val="1"/>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povezanost i mobilnost </w:t>
      </w:r>
    </w:p>
    <w:p w14:paraId="4DB7D115" w14:textId="77777777" w:rsidR="006D19CE" w:rsidRPr="00C0186C" w:rsidRDefault="006D19CE" w:rsidP="00B70EE8">
      <w:pPr>
        <w:pStyle w:val="NoSpacing"/>
        <w:numPr>
          <w:ilvl w:val="0"/>
          <w:numId w:val="1"/>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poboljšanje kvalitete života razvojem javne infrastrukture (komunalne, prometne, poslovne i društvene), podrškom stanogradnji i razvojem javnih usluga </w:t>
      </w:r>
    </w:p>
    <w:p w14:paraId="1FDCEB0C" w14:textId="77777777" w:rsidR="006D19CE" w:rsidRPr="00C0186C" w:rsidRDefault="006D19CE" w:rsidP="00B70EE8">
      <w:pPr>
        <w:pStyle w:val="NoSpacing"/>
        <w:numPr>
          <w:ilvl w:val="0"/>
          <w:numId w:val="1"/>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sanacija posljedica razornih potresa i obnova pogođenih područja </w:t>
      </w:r>
    </w:p>
    <w:p w14:paraId="7931EBB8" w14:textId="77777777" w:rsidR="006D19CE" w:rsidRPr="00C0186C" w:rsidRDefault="006D19CE" w:rsidP="00B70EE8">
      <w:pPr>
        <w:pStyle w:val="NoSpacing"/>
        <w:numPr>
          <w:ilvl w:val="0"/>
          <w:numId w:val="1"/>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razvoj i izgradnja širokopojasne infrastrukture i elektroničkih komunikacijskih mreža vrlo velikog kapaciteta </w:t>
      </w:r>
    </w:p>
    <w:p w14:paraId="0B2CF32C" w14:textId="410CF090" w:rsidR="00076B2B" w:rsidRDefault="006D19CE" w:rsidP="00B70EE8">
      <w:pPr>
        <w:pStyle w:val="NoSpacing"/>
        <w:numPr>
          <w:ilvl w:val="0"/>
          <w:numId w:val="1"/>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razvoj pametnih sela.</w:t>
      </w:r>
    </w:p>
    <w:p w14:paraId="259E3EF6" w14:textId="77777777" w:rsidR="00F65C38" w:rsidRPr="00C0186C" w:rsidRDefault="00F65C38" w:rsidP="00B70EE8">
      <w:pPr>
        <w:pStyle w:val="NoSpacing"/>
        <w:spacing w:before="0" w:line="276" w:lineRule="auto"/>
        <w:ind w:left="720"/>
        <w:jc w:val="both"/>
        <w:rPr>
          <w:rFonts w:ascii="Times New Roman" w:hAnsi="Times New Roman" w:cs="Times New Roman"/>
          <w:sz w:val="24"/>
          <w:szCs w:val="24"/>
        </w:rPr>
      </w:pPr>
    </w:p>
    <w:p w14:paraId="5679A63D" w14:textId="77777777" w:rsidR="005906C1" w:rsidRPr="00C0186C" w:rsidRDefault="005906C1"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b/>
          <w:sz w:val="24"/>
          <w:szCs w:val="24"/>
        </w:rPr>
        <w:t>Program Vlade Republike Hrvatske za mandatno razdoblje 2020. – 2024</w:t>
      </w:r>
      <w:r w:rsidRPr="00C0186C">
        <w:rPr>
          <w:rFonts w:ascii="Times New Roman" w:hAnsi="Times New Roman" w:cs="Times New Roman"/>
          <w:sz w:val="24"/>
          <w:szCs w:val="24"/>
        </w:rPr>
        <w:t>. godine predstavlja kratkoročni akt strateškog planiranja od nacionalnog značaja iz kojeg su vidljivi prioriteti Vlade za navedeno razdoblje</w:t>
      </w:r>
      <w:r w:rsidR="005600DB" w:rsidRPr="00C0186C">
        <w:rPr>
          <w:rStyle w:val="FootnoteReference"/>
          <w:rFonts w:ascii="Times New Roman" w:hAnsi="Times New Roman" w:cs="Times New Roman"/>
          <w:sz w:val="24"/>
          <w:szCs w:val="24"/>
        </w:rPr>
        <w:footnoteReference w:id="2"/>
      </w:r>
      <w:r w:rsidRPr="00C0186C">
        <w:rPr>
          <w:rFonts w:ascii="Times New Roman" w:hAnsi="Times New Roman" w:cs="Times New Roman"/>
          <w:sz w:val="24"/>
          <w:szCs w:val="24"/>
        </w:rPr>
        <w:t xml:space="preserve">. Sukladno sustavu o strateškom planiranju razvoja Republike Hrvatske, Program Vlade predstavlja okvir za izradu nacionalnog programa reformi, programa konvergencije i provedbenih programa tijela državne uprave. Zbog toga je on jedan od ključnih dokumenata s kojima </w:t>
      </w:r>
      <w:r w:rsidR="006E52A1" w:rsidRPr="00C0186C">
        <w:rPr>
          <w:rFonts w:ascii="Times New Roman" w:hAnsi="Times New Roman" w:cs="Times New Roman"/>
          <w:sz w:val="24"/>
          <w:szCs w:val="24"/>
        </w:rPr>
        <w:t xml:space="preserve">je </w:t>
      </w:r>
      <w:r w:rsidRPr="00C0186C">
        <w:rPr>
          <w:rFonts w:ascii="Times New Roman" w:hAnsi="Times New Roman" w:cs="Times New Roman"/>
          <w:sz w:val="24"/>
          <w:szCs w:val="24"/>
        </w:rPr>
        <w:t>ovaj Program usuglašen.</w:t>
      </w:r>
      <w:r w:rsidR="005600DB" w:rsidRPr="00C0186C">
        <w:rPr>
          <w:rFonts w:ascii="Times New Roman" w:hAnsi="Times New Roman" w:cs="Times New Roman"/>
          <w:sz w:val="24"/>
          <w:szCs w:val="24"/>
        </w:rPr>
        <w:t xml:space="preserve"> </w:t>
      </w:r>
      <w:r w:rsidR="009934B5" w:rsidRPr="00C0186C">
        <w:rPr>
          <w:rFonts w:ascii="Times New Roman" w:hAnsi="Times New Roman" w:cs="Times New Roman"/>
          <w:sz w:val="24"/>
          <w:szCs w:val="24"/>
        </w:rPr>
        <w:t xml:space="preserve">Programom Vlade za tekuće mandatno razdoblje artikulirano je pet temeljnih programskih područja </w:t>
      </w:r>
      <w:r w:rsidR="00D60DE5" w:rsidRPr="00C0186C">
        <w:rPr>
          <w:rFonts w:ascii="Times New Roman" w:hAnsi="Times New Roman" w:cs="Times New Roman"/>
          <w:sz w:val="24"/>
          <w:szCs w:val="24"/>
        </w:rPr>
        <w:t>važnih za postizanje ekonomskog i društvenog napretka, te jačanja međunarodne konkurentnosti Republike Hrvatske. To su sljedeća područja: socijalna sigurnost, perspektivna budućnost, ekonomska suverenost, osnažena državnost i globalna prepoznatljivost. Direktnu poveznicu ovog Programa s Programom Vlade</w:t>
      </w:r>
      <w:r w:rsidR="001F72C2" w:rsidRPr="00C0186C">
        <w:rPr>
          <w:rFonts w:ascii="Times New Roman" w:hAnsi="Times New Roman" w:cs="Times New Roman"/>
          <w:sz w:val="24"/>
          <w:szCs w:val="24"/>
        </w:rPr>
        <w:t xml:space="preserve"> RH</w:t>
      </w:r>
      <w:r w:rsidR="00D60DE5" w:rsidRPr="00C0186C">
        <w:rPr>
          <w:rFonts w:ascii="Times New Roman" w:hAnsi="Times New Roman" w:cs="Times New Roman"/>
          <w:sz w:val="24"/>
          <w:szCs w:val="24"/>
        </w:rPr>
        <w:t xml:space="preserve"> predstavlja prioritetno područje 2.:</w:t>
      </w:r>
      <w:r w:rsidR="00BD75F3" w:rsidRPr="00C0186C">
        <w:rPr>
          <w:rFonts w:ascii="Times New Roman" w:hAnsi="Times New Roman" w:cs="Times New Roman"/>
          <w:sz w:val="24"/>
          <w:szCs w:val="24"/>
        </w:rPr>
        <w:t xml:space="preserve"> </w:t>
      </w:r>
      <w:r w:rsidR="00D60DE5" w:rsidRPr="00C0186C">
        <w:rPr>
          <w:rFonts w:ascii="Times New Roman" w:hAnsi="Times New Roman" w:cs="Times New Roman"/>
          <w:b/>
          <w:sz w:val="24"/>
          <w:szCs w:val="24"/>
        </w:rPr>
        <w:t>Perspektivna budućnost,</w:t>
      </w:r>
      <w:r w:rsidR="00D60DE5" w:rsidRPr="00C0186C">
        <w:rPr>
          <w:rFonts w:ascii="Times New Roman" w:hAnsi="Times New Roman" w:cs="Times New Roman"/>
          <w:sz w:val="24"/>
          <w:szCs w:val="24"/>
        </w:rPr>
        <w:t xml:space="preserve"> odnosno cilj 2.</w:t>
      </w:r>
      <w:r w:rsidR="008E4191" w:rsidRPr="00C0186C">
        <w:rPr>
          <w:rFonts w:ascii="Times New Roman" w:hAnsi="Times New Roman" w:cs="Times New Roman"/>
          <w:sz w:val="24"/>
          <w:szCs w:val="24"/>
        </w:rPr>
        <w:t>1</w:t>
      </w:r>
      <w:r w:rsidR="00D60DE5" w:rsidRPr="00C0186C">
        <w:rPr>
          <w:rFonts w:ascii="Times New Roman" w:hAnsi="Times New Roman" w:cs="Times New Roman"/>
          <w:sz w:val="24"/>
          <w:szCs w:val="24"/>
        </w:rPr>
        <w:t xml:space="preserve">.: </w:t>
      </w:r>
      <w:r w:rsidR="008E4191" w:rsidRPr="00C0186C">
        <w:rPr>
          <w:rFonts w:ascii="Times New Roman" w:hAnsi="Times New Roman" w:cs="Times New Roman"/>
          <w:sz w:val="24"/>
          <w:szCs w:val="24"/>
        </w:rPr>
        <w:t>Gospodarski oporavak i poslovno okruženje</w:t>
      </w:r>
      <w:r w:rsidR="00D60DE5" w:rsidRPr="00C0186C">
        <w:rPr>
          <w:rFonts w:ascii="Times New Roman" w:hAnsi="Times New Roman" w:cs="Times New Roman"/>
          <w:sz w:val="24"/>
          <w:szCs w:val="24"/>
        </w:rPr>
        <w:t>.</w:t>
      </w:r>
      <w:r w:rsidR="00BD75F3" w:rsidRPr="00C0186C">
        <w:rPr>
          <w:rFonts w:ascii="Times New Roman" w:hAnsi="Times New Roman" w:cs="Times New Roman"/>
          <w:sz w:val="24"/>
          <w:szCs w:val="24"/>
        </w:rPr>
        <w:t xml:space="preserve"> </w:t>
      </w:r>
      <w:r w:rsidR="001F72C2" w:rsidRPr="00C0186C">
        <w:rPr>
          <w:rFonts w:ascii="Times New Roman" w:hAnsi="Times New Roman" w:cs="Times New Roman"/>
          <w:sz w:val="24"/>
          <w:szCs w:val="24"/>
        </w:rPr>
        <w:t xml:space="preserve">U Programu </w:t>
      </w:r>
      <w:r w:rsidR="006E52A1" w:rsidRPr="00C0186C">
        <w:rPr>
          <w:rFonts w:ascii="Times New Roman" w:hAnsi="Times New Roman" w:cs="Times New Roman"/>
          <w:sz w:val="24"/>
          <w:szCs w:val="24"/>
        </w:rPr>
        <w:t>Vlade navodi se da će „Vlada</w:t>
      </w:r>
      <w:r w:rsidR="001F72C2" w:rsidRPr="00C0186C">
        <w:rPr>
          <w:rFonts w:ascii="Times New Roman" w:hAnsi="Times New Roman" w:cs="Times New Roman"/>
          <w:sz w:val="24"/>
          <w:szCs w:val="24"/>
        </w:rPr>
        <w:t xml:space="preserve"> ulagati i u ravnomjerni regionalni razvoj kako bi se svaki dio Hrvatske učinio boljim i poželjnijim za život“. Predviđene su sljedeće mjere za osiguranje ravnomjernog regionalnog razvoja, te ujedno ublažavanja procesa depopulacije i iseljavanja stanovništva: </w:t>
      </w:r>
    </w:p>
    <w:p w14:paraId="13EB6866" w14:textId="77777777" w:rsidR="001F72C2" w:rsidRPr="00C0186C" w:rsidRDefault="00555A1E" w:rsidP="00B70EE8">
      <w:pPr>
        <w:pStyle w:val="NoSpacing"/>
        <w:numPr>
          <w:ilvl w:val="0"/>
          <w:numId w:val="25"/>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 </w:t>
      </w:r>
      <w:r w:rsidR="00BD75F3" w:rsidRPr="00C0186C">
        <w:rPr>
          <w:rFonts w:ascii="Times New Roman" w:hAnsi="Times New Roman" w:cs="Times New Roman"/>
          <w:sz w:val="24"/>
          <w:szCs w:val="24"/>
        </w:rPr>
        <w:t>2.</w:t>
      </w:r>
      <w:r w:rsidR="00151BA0" w:rsidRPr="00C0186C">
        <w:rPr>
          <w:rFonts w:ascii="Times New Roman" w:hAnsi="Times New Roman" w:cs="Times New Roman"/>
          <w:sz w:val="24"/>
          <w:szCs w:val="24"/>
        </w:rPr>
        <w:t>1</w:t>
      </w:r>
      <w:r w:rsidR="00BD75F3" w:rsidRPr="00C0186C">
        <w:rPr>
          <w:rFonts w:ascii="Times New Roman" w:hAnsi="Times New Roman" w:cs="Times New Roman"/>
          <w:sz w:val="24"/>
          <w:szCs w:val="24"/>
        </w:rPr>
        <w:t>.1. Uložit će se 30 milijardi kuna u ravnomjeran regionalni razvoj i nove tehnologije.</w:t>
      </w:r>
    </w:p>
    <w:p w14:paraId="4910DCA8" w14:textId="77777777" w:rsidR="001F72C2" w:rsidRPr="00C0186C" w:rsidRDefault="00BD75F3" w:rsidP="00B70EE8">
      <w:pPr>
        <w:pStyle w:val="NoSpacing"/>
        <w:numPr>
          <w:ilvl w:val="0"/>
          <w:numId w:val="25"/>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 2.</w:t>
      </w:r>
      <w:r w:rsidR="00151BA0" w:rsidRPr="00C0186C">
        <w:rPr>
          <w:rFonts w:ascii="Times New Roman" w:hAnsi="Times New Roman" w:cs="Times New Roman"/>
          <w:sz w:val="24"/>
          <w:szCs w:val="24"/>
        </w:rPr>
        <w:t>1</w:t>
      </w:r>
      <w:r w:rsidRPr="00C0186C">
        <w:rPr>
          <w:rFonts w:ascii="Times New Roman" w:hAnsi="Times New Roman" w:cs="Times New Roman"/>
          <w:sz w:val="24"/>
          <w:szCs w:val="24"/>
        </w:rPr>
        <w:t xml:space="preserve">.2.Pokrenut će se Projekt Dalmatinska zagora, Lika, Banovina i Gorski Kotar vrijedan 2 milijarde kuna te dodatno ojačati Projekt Slavonija, Baranja i Srijem, kao i razvoj otoka te sjevera Hrvatske. </w:t>
      </w:r>
    </w:p>
    <w:p w14:paraId="26EDFD70" w14:textId="77777777" w:rsidR="001F72C2" w:rsidRPr="00C0186C" w:rsidRDefault="00BD75F3" w:rsidP="00B70EE8">
      <w:pPr>
        <w:pStyle w:val="NoSpacing"/>
        <w:numPr>
          <w:ilvl w:val="0"/>
          <w:numId w:val="25"/>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2.</w:t>
      </w:r>
      <w:r w:rsidR="00151BA0" w:rsidRPr="00C0186C">
        <w:rPr>
          <w:rFonts w:ascii="Times New Roman" w:hAnsi="Times New Roman" w:cs="Times New Roman"/>
          <w:sz w:val="24"/>
          <w:szCs w:val="24"/>
        </w:rPr>
        <w:t>1</w:t>
      </w:r>
      <w:r w:rsidRPr="00C0186C">
        <w:rPr>
          <w:rFonts w:ascii="Times New Roman" w:hAnsi="Times New Roman" w:cs="Times New Roman"/>
          <w:sz w:val="24"/>
          <w:szCs w:val="24"/>
        </w:rPr>
        <w:t>.3. Radi oživljavanja otočnih gospodarstava i života na otocima, stavit će se naglasak na digitalnu ekonomiju, turizam, dostupnost javnih usluga svim otočanima, obnovljive izvore energije, ribarstvo i</w:t>
      </w:r>
      <w:r w:rsidR="001F72C2" w:rsidRPr="00C0186C">
        <w:rPr>
          <w:rFonts w:ascii="Times New Roman" w:hAnsi="Times New Roman" w:cs="Times New Roman"/>
          <w:sz w:val="24"/>
          <w:szCs w:val="24"/>
        </w:rPr>
        <w:t xml:space="preserve"> proizvodnju te preradu hrane. </w:t>
      </w:r>
    </w:p>
    <w:p w14:paraId="13207474" w14:textId="77777777" w:rsidR="00BD75F3" w:rsidRPr="00C0186C" w:rsidRDefault="00BD75F3" w:rsidP="00B70EE8">
      <w:pPr>
        <w:pStyle w:val="NoSpacing"/>
        <w:numPr>
          <w:ilvl w:val="0"/>
          <w:numId w:val="25"/>
        </w:numPr>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 2.</w:t>
      </w:r>
      <w:r w:rsidR="00151BA0" w:rsidRPr="00C0186C">
        <w:rPr>
          <w:rFonts w:ascii="Times New Roman" w:hAnsi="Times New Roman" w:cs="Times New Roman"/>
          <w:sz w:val="24"/>
          <w:szCs w:val="24"/>
        </w:rPr>
        <w:t>1</w:t>
      </w:r>
      <w:r w:rsidRPr="00C0186C">
        <w:rPr>
          <w:rFonts w:ascii="Times New Roman" w:hAnsi="Times New Roman" w:cs="Times New Roman"/>
          <w:sz w:val="24"/>
          <w:szCs w:val="24"/>
        </w:rPr>
        <w:t>.4. Vlada će raditi na daljnjoj fiskalnoj i funkcionalnoj decentralizaciji i nadograđivati projektnu suradnju s jedinicama lokalne i područne (regionalne) samouprave i kroz suradnju s potpisnicama regionalnih razvojnih sporazuma.</w:t>
      </w:r>
    </w:p>
    <w:p w14:paraId="5F20338C" w14:textId="77777777" w:rsidR="00071C99" w:rsidRPr="00C0186C" w:rsidRDefault="00071C99" w:rsidP="00B70EE8">
      <w:pPr>
        <w:pStyle w:val="NoSpacing"/>
        <w:spacing w:before="0" w:line="276" w:lineRule="auto"/>
        <w:jc w:val="both"/>
        <w:rPr>
          <w:rFonts w:ascii="Times New Roman" w:hAnsi="Times New Roman" w:cs="Times New Roman"/>
          <w:sz w:val="24"/>
          <w:szCs w:val="24"/>
        </w:rPr>
      </w:pPr>
    </w:p>
    <w:p w14:paraId="71665E8B" w14:textId="77777777" w:rsidR="004C028D" w:rsidRPr="00C0186C" w:rsidRDefault="004C028D" w:rsidP="00B70EE8">
      <w:pPr>
        <w:pStyle w:val="NoSpacing"/>
        <w:spacing w:before="0" w:line="276" w:lineRule="auto"/>
        <w:jc w:val="both"/>
        <w:rPr>
          <w:rFonts w:ascii="Times New Roman" w:hAnsi="Times New Roman" w:cs="Times New Roman"/>
          <w:b/>
          <w:sz w:val="24"/>
          <w:szCs w:val="24"/>
        </w:rPr>
      </w:pPr>
      <w:r w:rsidRPr="00C0186C">
        <w:rPr>
          <w:rFonts w:ascii="Times New Roman" w:hAnsi="Times New Roman" w:cs="Times New Roman"/>
          <w:sz w:val="24"/>
          <w:szCs w:val="24"/>
        </w:rPr>
        <w:t xml:space="preserve">Iz Vladinog programa za </w:t>
      </w:r>
      <w:r w:rsidR="0022136A" w:rsidRPr="00C0186C">
        <w:rPr>
          <w:rFonts w:ascii="Times New Roman" w:hAnsi="Times New Roman" w:cs="Times New Roman"/>
          <w:sz w:val="24"/>
          <w:szCs w:val="24"/>
        </w:rPr>
        <w:t xml:space="preserve">razdoblje </w:t>
      </w:r>
      <w:r w:rsidRPr="00C0186C">
        <w:rPr>
          <w:rFonts w:ascii="Times New Roman" w:hAnsi="Times New Roman" w:cs="Times New Roman"/>
          <w:sz w:val="24"/>
          <w:szCs w:val="24"/>
        </w:rPr>
        <w:t>2020.-2024. jasno se prepoznaje namjera smanjenja regionalnih nejednakosti pojedini</w:t>
      </w:r>
      <w:r w:rsidR="0063357D" w:rsidRPr="00C0186C">
        <w:rPr>
          <w:rFonts w:ascii="Times New Roman" w:hAnsi="Times New Roman" w:cs="Times New Roman"/>
          <w:sz w:val="24"/>
          <w:szCs w:val="24"/>
        </w:rPr>
        <w:t>h</w:t>
      </w:r>
      <w:r w:rsidRPr="00C0186C">
        <w:rPr>
          <w:rFonts w:ascii="Times New Roman" w:hAnsi="Times New Roman" w:cs="Times New Roman"/>
          <w:sz w:val="24"/>
          <w:szCs w:val="24"/>
        </w:rPr>
        <w:t xml:space="preserve"> regija RH kroz osiguranje značajnih financijskih sredstava koji će se osigurati ubrzanom apsorpcijom europskih fondova. Posebno se planira dodatni napor usmjeriti na razvoj potpomognutih područja: „Dodatnu podršku usmjerit će se u potpomognuta i brdsko-planinska područja radi njihove demografske revitalizacije, njihova održivog razvoja i ekonomske regeneracije ključnih sektora za njihov razvoj, poput turizma, prehrambeno-prerađivačkog i drvno-prerađivačkog sektora. Novim mjerama nastavit će se smanjivati socijalnu nejednakost, isključenost i siromaštvo te povećavati kvalitetu življenja i poslovanja na tim područjima. Razvojem koncepta pametnih sela ublažit će se depopulacijsk</w:t>
      </w:r>
      <w:r w:rsidR="00790291" w:rsidRPr="00C0186C">
        <w:rPr>
          <w:rFonts w:ascii="Times New Roman" w:hAnsi="Times New Roman" w:cs="Times New Roman"/>
          <w:sz w:val="24"/>
          <w:szCs w:val="24"/>
        </w:rPr>
        <w:t>i</w:t>
      </w:r>
      <w:r w:rsidRPr="00C0186C">
        <w:rPr>
          <w:rFonts w:ascii="Times New Roman" w:hAnsi="Times New Roman" w:cs="Times New Roman"/>
          <w:sz w:val="24"/>
          <w:szCs w:val="24"/>
        </w:rPr>
        <w:t xml:space="preserve"> proces</w:t>
      </w:r>
      <w:r w:rsidR="00790291" w:rsidRPr="00C0186C">
        <w:rPr>
          <w:rFonts w:ascii="Times New Roman" w:hAnsi="Times New Roman" w:cs="Times New Roman"/>
          <w:sz w:val="24"/>
          <w:szCs w:val="24"/>
        </w:rPr>
        <w:t>i</w:t>
      </w:r>
      <w:r w:rsidRPr="00C0186C">
        <w:rPr>
          <w:rFonts w:ascii="Times New Roman" w:hAnsi="Times New Roman" w:cs="Times New Roman"/>
          <w:sz w:val="24"/>
          <w:szCs w:val="24"/>
        </w:rPr>
        <w:t xml:space="preserve"> te potaknuti društveno-gospodarski razvoj potpomognutih</w:t>
      </w:r>
      <w:r w:rsidR="00625456" w:rsidRPr="00C0186C">
        <w:rPr>
          <w:rFonts w:ascii="Times New Roman" w:hAnsi="Times New Roman" w:cs="Times New Roman"/>
          <w:sz w:val="24"/>
          <w:szCs w:val="24"/>
        </w:rPr>
        <w:t xml:space="preserve"> </w:t>
      </w:r>
      <w:r w:rsidRPr="00C0186C">
        <w:rPr>
          <w:rFonts w:ascii="Times New Roman" w:hAnsi="Times New Roman" w:cs="Times New Roman"/>
          <w:sz w:val="24"/>
          <w:szCs w:val="24"/>
        </w:rPr>
        <w:t xml:space="preserve">i brdsko-planinskih područja.“ </w:t>
      </w:r>
    </w:p>
    <w:p w14:paraId="7F45EEC8" w14:textId="77777777" w:rsidR="004C028D" w:rsidRPr="00C0186C" w:rsidRDefault="004C028D" w:rsidP="00B70EE8">
      <w:pPr>
        <w:pStyle w:val="NoSpacing"/>
        <w:spacing w:before="0" w:line="276" w:lineRule="auto"/>
        <w:jc w:val="both"/>
        <w:rPr>
          <w:rFonts w:ascii="Times New Roman" w:hAnsi="Times New Roman" w:cs="Times New Roman"/>
          <w:b/>
          <w:sz w:val="24"/>
          <w:szCs w:val="24"/>
        </w:rPr>
      </w:pPr>
    </w:p>
    <w:p w14:paraId="38E66B43" w14:textId="77777777" w:rsidR="004C028D" w:rsidRPr="00C0186C" w:rsidRDefault="00071C99"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Sa šireg aspekta, relevantnost Programa Vlade RH za izradu ovog Programa proizlazi i iz ostalih prioriteta i ciljeva, kao što su primjerice očuvanje radnih mjesta i socijalna sigurnost, gospodarski oporavak i poslovno okruženje, ulaganje u obrazovanje i znanost, samodostatnost u hrani i drugo.</w:t>
      </w:r>
    </w:p>
    <w:p w14:paraId="7AADC5DF" w14:textId="77777777" w:rsidR="004C028D" w:rsidRPr="00C0186C" w:rsidRDefault="004C028D" w:rsidP="00B70EE8">
      <w:pPr>
        <w:pStyle w:val="NoSpacing"/>
        <w:spacing w:before="0" w:line="276" w:lineRule="auto"/>
        <w:jc w:val="both"/>
        <w:rPr>
          <w:rFonts w:ascii="Times New Roman" w:hAnsi="Times New Roman" w:cs="Times New Roman"/>
          <w:b/>
          <w:sz w:val="24"/>
          <w:szCs w:val="24"/>
        </w:rPr>
      </w:pPr>
    </w:p>
    <w:p w14:paraId="778D08B9" w14:textId="46EBADD4" w:rsidR="00AF453C" w:rsidRPr="00C0186C" w:rsidRDefault="00F44A31"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b/>
          <w:sz w:val="24"/>
          <w:szCs w:val="24"/>
        </w:rPr>
        <w:t>Provedbeni program MRRFEU za razdoblje</w:t>
      </w:r>
      <w:r w:rsidR="00A75188" w:rsidRPr="00C0186C">
        <w:rPr>
          <w:rFonts w:ascii="Times New Roman" w:hAnsi="Times New Roman" w:cs="Times New Roman"/>
          <w:b/>
          <w:sz w:val="24"/>
          <w:szCs w:val="24"/>
        </w:rPr>
        <w:t xml:space="preserve"> od 2021. do </w:t>
      </w:r>
      <w:r w:rsidRPr="00C0186C">
        <w:rPr>
          <w:rFonts w:ascii="Times New Roman" w:hAnsi="Times New Roman" w:cs="Times New Roman"/>
          <w:b/>
          <w:sz w:val="24"/>
          <w:szCs w:val="24"/>
        </w:rPr>
        <w:t xml:space="preserve">2024. </w:t>
      </w:r>
      <w:r w:rsidRPr="00C0186C">
        <w:rPr>
          <w:rFonts w:ascii="Times New Roman" w:hAnsi="Times New Roman" w:cs="Times New Roman"/>
          <w:sz w:val="24"/>
          <w:szCs w:val="24"/>
        </w:rPr>
        <w:t>predstavlja</w:t>
      </w:r>
      <w:r w:rsidRPr="00C0186C">
        <w:rPr>
          <w:rFonts w:ascii="Times New Roman" w:hAnsi="Times New Roman" w:cs="Times New Roman"/>
          <w:b/>
          <w:sz w:val="24"/>
          <w:szCs w:val="24"/>
        </w:rPr>
        <w:t xml:space="preserve"> </w:t>
      </w:r>
      <w:r w:rsidRPr="00C0186C">
        <w:rPr>
          <w:rFonts w:ascii="Times New Roman" w:hAnsi="Times New Roman" w:cs="Times New Roman"/>
          <w:sz w:val="24"/>
          <w:szCs w:val="24"/>
        </w:rPr>
        <w:t>kratkoročni akt strateškog planiranja koji se donos</w:t>
      </w:r>
      <w:r w:rsidR="00AF453C" w:rsidRPr="00C0186C">
        <w:rPr>
          <w:rFonts w:ascii="Times New Roman" w:hAnsi="Times New Roman" w:cs="Times New Roman"/>
          <w:sz w:val="24"/>
          <w:szCs w:val="24"/>
        </w:rPr>
        <w:t xml:space="preserve">i </w:t>
      </w:r>
      <w:r w:rsidRPr="00C0186C">
        <w:rPr>
          <w:rFonts w:ascii="Times New Roman" w:hAnsi="Times New Roman" w:cs="Times New Roman"/>
          <w:sz w:val="24"/>
          <w:szCs w:val="24"/>
        </w:rPr>
        <w:t>na temelju nacionalnih planova, programa Vlade i financijskog plana tijela državne uprave te vrijed</w:t>
      </w:r>
      <w:r w:rsidR="00AF453C" w:rsidRPr="00C0186C">
        <w:rPr>
          <w:rFonts w:ascii="Times New Roman" w:hAnsi="Times New Roman" w:cs="Times New Roman"/>
          <w:sz w:val="24"/>
          <w:szCs w:val="24"/>
        </w:rPr>
        <w:t>i</w:t>
      </w:r>
      <w:r w:rsidRPr="00C0186C">
        <w:rPr>
          <w:rFonts w:ascii="Times New Roman" w:hAnsi="Times New Roman" w:cs="Times New Roman"/>
          <w:sz w:val="24"/>
          <w:szCs w:val="24"/>
        </w:rPr>
        <w:t xml:space="preserve"> za vrijeme trajanja mandata Vlade.</w:t>
      </w:r>
      <w:r w:rsidR="00AF453C" w:rsidRPr="00C0186C">
        <w:rPr>
          <w:rStyle w:val="FootnoteReference"/>
          <w:rFonts w:ascii="Times New Roman" w:hAnsi="Times New Roman" w:cs="Times New Roman"/>
          <w:sz w:val="24"/>
          <w:szCs w:val="24"/>
        </w:rPr>
        <w:footnoteReference w:id="3"/>
      </w:r>
      <w:r w:rsidR="00AF453C" w:rsidRPr="00C0186C">
        <w:rPr>
          <w:rFonts w:ascii="Times New Roman" w:hAnsi="Times New Roman" w:cs="Times New Roman"/>
          <w:sz w:val="24"/>
          <w:szCs w:val="24"/>
        </w:rPr>
        <w:t xml:space="preserve"> U provedbenom Programu MRRFEU razrađene su mjere za provedbu ciljeva iz Programa Vlade RH 2020.-2024., ali i drugih hijerarhijski nadređenih akata strateškog planiranja. Time se osigurava koherentnost čitavog sustava planiranja javnih politika na nacionalnoj razini. Provedbeni program MRRFEU za </w:t>
      </w:r>
      <w:r w:rsidR="00283FBB" w:rsidRPr="00C0186C">
        <w:rPr>
          <w:rFonts w:ascii="Times New Roman" w:hAnsi="Times New Roman" w:cs="Times New Roman"/>
          <w:sz w:val="24"/>
          <w:szCs w:val="24"/>
        </w:rPr>
        <w:t>tekuće</w:t>
      </w:r>
      <w:r w:rsidR="00AF453C" w:rsidRPr="00C0186C">
        <w:rPr>
          <w:rFonts w:ascii="Times New Roman" w:hAnsi="Times New Roman" w:cs="Times New Roman"/>
          <w:sz w:val="24"/>
          <w:szCs w:val="24"/>
        </w:rPr>
        <w:t xml:space="preserve"> mandatno razdoblje </w:t>
      </w:r>
      <w:r w:rsidR="00790291" w:rsidRPr="00C0186C">
        <w:rPr>
          <w:rFonts w:ascii="Times New Roman" w:hAnsi="Times New Roman" w:cs="Times New Roman"/>
          <w:sz w:val="24"/>
          <w:szCs w:val="24"/>
        </w:rPr>
        <w:t xml:space="preserve">je </w:t>
      </w:r>
      <w:r w:rsidR="00AF453C" w:rsidRPr="00C0186C">
        <w:rPr>
          <w:rFonts w:ascii="Times New Roman" w:hAnsi="Times New Roman" w:cs="Times New Roman"/>
          <w:sz w:val="24"/>
          <w:szCs w:val="24"/>
        </w:rPr>
        <w:t xml:space="preserve">stoga relevantan strateški dokument s aspekta izrade i realizacije ovog Programa. </w:t>
      </w:r>
      <w:r w:rsidR="000865C1" w:rsidRPr="00C0186C">
        <w:rPr>
          <w:rFonts w:ascii="Times New Roman" w:hAnsi="Times New Roman" w:cs="Times New Roman"/>
          <w:sz w:val="24"/>
          <w:szCs w:val="24"/>
        </w:rPr>
        <w:t>Naime, izrada Programa u</w:t>
      </w:r>
      <w:r w:rsidR="004A65BF" w:rsidRPr="00C0186C">
        <w:rPr>
          <w:rFonts w:ascii="Times New Roman" w:hAnsi="Times New Roman" w:cs="Times New Roman"/>
          <w:sz w:val="24"/>
          <w:szCs w:val="24"/>
        </w:rPr>
        <w:t xml:space="preserve"> nadležnosti je MRRFEU, a odnosi se primarno na one mjere za čiju je realizaciju, praćenje i evaluaciju Ministarstvo zaduženo. </w:t>
      </w:r>
      <w:r w:rsidR="00AB0AF1" w:rsidRPr="00C0186C">
        <w:rPr>
          <w:rFonts w:ascii="Times New Roman" w:hAnsi="Times New Roman" w:cs="Times New Roman"/>
          <w:sz w:val="24"/>
          <w:szCs w:val="24"/>
        </w:rPr>
        <w:t xml:space="preserve">Sukladno svom djelokrugu rada, MRRFEU definiralo je viziju za navedeno razdoblje na sljedeći način: </w:t>
      </w:r>
      <w:r w:rsidR="00E96E8C" w:rsidRPr="00C0186C">
        <w:rPr>
          <w:rFonts w:ascii="Times New Roman" w:hAnsi="Times New Roman" w:cs="Times New Roman"/>
          <w:sz w:val="24"/>
          <w:szCs w:val="24"/>
        </w:rPr>
        <w:t>„</w:t>
      </w:r>
      <w:r w:rsidR="00AB0AF1" w:rsidRPr="00C0186C">
        <w:rPr>
          <w:rFonts w:ascii="Times New Roman" w:hAnsi="Times New Roman" w:cs="Times New Roman"/>
          <w:sz w:val="24"/>
          <w:szCs w:val="24"/>
        </w:rPr>
        <w:t>Kvalitetni životni uvjeti i uvjeti poslovanja u svim krajevima Hrvatske, prosperitetne regije koje su ostvarile vlastiti razvojni potencijal, spriječeno iseljavanje stanovništva i gospodarski regenerirana potpomognuta i brdsko-planin</w:t>
      </w:r>
      <w:r w:rsidR="00E96E8C" w:rsidRPr="00C0186C">
        <w:rPr>
          <w:rFonts w:ascii="Times New Roman" w:hAnsi="Times New Roman" w:cs="Times New Roman"/>
          <w:sz w:val="24"/>
          <w:szCs w:val="24"/>
        </w:rPr>
        <w:t xml:space="preserve">ska područja, oživjela otočna </w:t>
      </w:r>
      <w:r w:rsidR="00AB0AF1" w:rsidRPr="00C0186C">
        <w:rPr>
          <w:rFonts w:ascii="Times New Roman" w:hAnsi="Times New Roman" w:cs="Times New Roman"/>
          <w:sz w:val="24"/>
          <w:szCs w:val="24"/>
        </w:rPr>
        <w:t>gospodarstva i život na otocima te kvalitetno usmjereni europski fondovi u sufinanciranje projekata prema razvojnim potrebama za održivi rast, razvoj i zapošljavanje.</w:t>
      </w:r>
      <w:r w:rsidR="00E96E8C" w:rsidRPr="00C0186C">
        <w:rPr>
          <w:rFonts w:ascii="Times New Roman" w:hAnsi="Times New Roman" w:cs="Times New Roman"/>
          <w:sz w:val="24"/>
          <w:szCs w:val="24"/>
        </w:rPr>
        <w:t>“</w:t>
      </w:r>
      <w:r w:rsidR="00E96E8C" w:rsidRPr="00C0186C">
        <w:rPr>
          <w:rStyle w:val="FootnoteReference"/>
          <w:rFonts w:ascii="Times New Roman" w:hAnsi="Times New Roman" w:cs="Times New Roman"/>
          <w:sz w:val="24"/>
          <w:szCs w:val="24"/>
        </w:rPr>
        <w:footnoteReference w:id="4"/>
      </w:r>
      <w:r w:rsidR="00E96E8C" w:rsidRPr="00C0186C">
        <w:rPr>
          <w:rFonts w:ascii="Times New Roman" w:hAnsi="Times New Roman" w:cs="Times New Roman"/>
          <w:sz w:val="24"/>
          <w:szCs w:val="24"/>
        </w:rPr>
        <w:t xml:space="preserve"> Realizacij</w:t>
      </w:r>
      <w:r w:rsidR="00541D8D" w:rsidRPr="00C0186C">
        <w:rPr>
          <w:rFonts w:ascii="Times New Roman" w:hAnsi="Times New Roman" w:cs="Times New Roman"/>
          <w:sz w:val="24"/>
          <w:szCs w:val="24"/>
        </w:rPr>
        <w:t>a</w:t>
      </w:r>
      <w:r w:rsidR="00E96E8C" w:rsidRPr="00C0186C">
        <w:rPr>
          <w:rFonts w:ascii="Times New Roman" w:hAnsi="Times New Roman" w:cs="Times New Roman"/>
          <w:sz w:val="24"/>
          <w:szCs w:val="24"/>
        </w:rPr>
        <w:t xml:space="preserve"> te vizije planira se kroz tri prioritetna područja, od kojih je prvo </w:t>
      </w:r>
      <w:r w:rsidR="00E96E8C" w:rsidRPr="00C0186C">
        <w:rPr>
          <w:rFonts w:ascii="Times New Roman" w:hAnsi="Times New Roman" w:cs="Times New Roman"/>
          <w:b/>
          <w:sz w:val="24"/>
          <w:szCs w:val="24"/>
        </w:rPr>
        <w:t>Ravnomjeran razvoj svih područja Hrvatske</w:t>
      </w:r>
      <w:r w:rsidR="00E96E8C" w:rsidRPr="00C0186C">
        <w:rPr>
          <w:rFonts w:ascii="Times New Roman" w:hAnsi="Times New Roman" w:cs="Times New Roman"/>
          <w:sz w:val="24"/>
          <w:szCs w:val="24"/>
        </w:rPr>
        <w:t>, direktno povezano s izradom ovog Programa. Unutar tog prioriteta planirane su dvije mjere</w:t>
      </w:r>
      <w:r w:rsidR="00283FBB" w:rsidRPr="00C0186C">
        <w:rPr>
          <w:rFonts w:ascii="Times New Roman" w:hAnsi="Times New Roman" w:cs="Times New Roman"/>
          <w:sz w:val="24"/>
          <w:szCs w:val="24"/>
        </w:rPr>
        <w:t xml:space="preserve"> direktno</w:t>
      </w:r>
      <w:r w:rsidR="00E96E8C" w:rsidRPr="00C0186C">
        <w:rPr>
          <w:rFonts w:ascii="Times New Roman" w:hAnsi="Times New Roman" w:cs="Times New Roman"/>
          <w:sz w:val="24"/>
          <w:szCs w:val="24"/>
        </w:rPr>
        <w:t xml:space="preserve"> usmjerene n</w:t>
      </w:r>
      <w:r w:rsidR="00495A2C" w:rsidRPr="00C0186C">
        <w:rPr>
          <w:rFonts w:ascii="Times New Roman" w:hAnsi="Times New Roman" w:cs="Times New Roman"/>
          <w:sz w:val="24"/>
          <w:szCs w:val="24"/>
        </w:rPr>
        <w:t>a razvoj potpomognutih područja:</w:t>
      </w:r>
    </w:p>
    <w:p w14:paraId="7894A634" w14:textId="77777777" w:rsidR="00283FBB" w:rsidRPr="00C0186C" w:rsidRDefault="00283FBB" w:rsidP="00B70EE8">
      <w:pPr>
        <w:pStyle w:val="NoSpacing"/>
        <w:spacing w:before="0" w:line="276" w:lineRule="auto"/>
        <w:jc w:val="both"/>
        <w:rPr>
          <w:rFonts w:ascii="Times New Roman" w:hAnsi="Times New Roman" w:cs="Times New Roman"/>
          <w:sz w:val="24"/>
          <w:szCs w:val="24"/>
        </w:rPr>
      </w:pPr>
    </w:p>
    <w:p w14:paraId="79B9029C" w14:textId="1DCF69B4" w:rsidR="00E96E8C" w:rsidRPr="00C0186C" w:rsidRDefault="00E96E8C"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b/>
          <w:sz w:val="24"/>
          <w:szCs w:val="24"/>
        </w:rPr>
        <w:t>Mjera 4</w:t>
      </w:r>
      <w:r w:rsidRPr="00C0186C">
        <w:rPr>
          <w:rFonts w:ascii="Times New Roman" w:hAnsi="Times New Roman" w:cs="Times New Roman"/>
          <w:sz w:val="24"/>
          <w:szCs w:val="24"/>
        </w:rPr>
        <w:t xml:space="preserve">.: </w:t>
      </w:r>
      <w:r w:rsidRPr="00252936">
        <w:rPr>
          <w:rFonts w:ascii="Times New Roman" w:hAnsi="Times New Roman" w:cs="Times New Roman"/>
          <w:b/>
          <w:iCs/>
          <w:sz w:val="24"/>
          <w:szCs w:val="24"/>
        </w:rPr>
        <w:t>Poticanje ulaganja na potpomognutim područjima</w:t>
      </w:r>
      <w:r w:rsidRPr="00C0186C">
        <w:rPr>
          <w:rFonts w:ascii="Times New Roman" w:hAnsi="Times New Roman" w:cs="Times New Roman"/>
          <w:sz w:val="24"/>
          <w:szCs w:val="24"/>
        </w:rPr>
        <w:t xml:space="preserve"> </w:t>
      </w:r>
      <w:r w:rsidR="00495A2C" w:rsidRPr="00C0186C">
        <w:rPr>
          <w:rFonts w:ascii="Times New Roman" w:hAnsi="Times New Roman" w:cs="Times New Roman"/>
          <w:sz w:val="24"/>
          <w:szCs w:val="24"/>
        </w:rPr>
        <w:t xml:space="preserve">koja kao investicijska mjera izravno </w:t>
      </w:r>
      <w:r w:rsidRPr="00C0186C">
        <w:rPr>
          <w:rFonts w:ascii="Times New Roman" w:hAnsi="Times New Roman" w:cs="Times New Roman"/>
          <w:sz w:val="24"/>
          <w:szCs w:val="24"/>
        </w:rPr>
        <w:t xml:space="preserve">utječe na povećanje gospodarske aktivnosti direktnim darovnicama poduzetnicima kroz otvorene pozive, ali također i izgradnjom poduzetničke infrastrukture i potpornih institucija. Ulaganja u infrastrukturu imaju dvojak učinak, s jedne strane riječ je o izravnim investicijama koja imaju </w:t>
      </w:r>
      <w:r w:rsidR="00AA7D8A">
        <w:rPr>
          <w:rFonts w:ascii="Times New Roman" w:hAnsi="Times New Roman" w:cs="Times New Roman"/>
          <w:sz w:val="24"/>
          <w:szCs w:val="24"/>
        </w:rPr>
        <w:t>višestruki</w:t>
      </w:r>
      <w:r w:rsidR="00AA7D8A" w:rsidRPr="00C0186C">
        <w:rPr>
          <w:rFonts w:ascii="Times New Roman" w:hAnsi="Times New Roman" w:cs="Times New Roman"/>
          <w:sz w:val="24"/>
          <w:szCs w:val="24"/>
        </w:rPr>
        <w:t xml:space="preserve"> </w:t>
      </w:r>
      <w:r w:rsidR="00AA7D8A">
        <w:rPr>
          <w:rFonts w:ascii="Times New Roman" w:hAnsi="Times New Roman" w:cs="Times New Roman"/>
          <w:sz w:val="24"/>
          <w:szCs w:val="24"/>
        </w:rPr>
        <w:t>učinak</w:t>
      </w:r>
      <w:r w:rsidRPr="00C0186C">
        <w:rPr>
          <w:rFonts w:ascii="Times New Roman" w:hAnsi="Times New Roman" w:cs="Times New Roman"/>
          <w:sz w:val="24"/>
          <w:szCs w:val="24"/>
        </w:rPr>
        <w:t xml:space="preserve">, s druge strane poboljšanje infrastrukture čini život u tim područjima ugodnijim, kako za postojeće stanovništvo, tako i za potencijalne nove stanovnike. </w:t>
      </w:r>
      <w:r w:rsidR="00495A2C" w:rsidRPr="00C0186C">
        <w:rPr>
          <w:rFonts w:ascii="Times New Roman" w:hAnsi="Times New Roman" w:cs="Times New Roman"/>
          <w:sz w:val="24"/>
          <w:szCs w:val="24"/>
        </w:rPr>
        <w:t>Također, f</w:t>
      </w:r>
      <w:r w:rsidRPr="00C0186C">
        <w:rPr>
          <w:rFonts w:ascii="Times New Roman" w:hAnsi="Times New Roman" w:cs="Times New Roman"/>
          <w:sz w:val="24"/>
          <w:szCs w:val="24"/>
        </w:rPr>
        <w:t xml:space="preserve">inanciranje projekata iz društvene infrastrukture i djelatnosti ima za cilj povećati društvenu </w:t>
      </w:r>
      <w:proofErr w:type="spellStart"/>
      <w:r w:rsidRPr="00C0186C">
        <w:rPr>
          <w:rFonts w:ascii="Times New Roman" w:hAnsi="Times New Roman" w:cs="Times New Roman"/>
          <w:sz w:val="24"/>
          <w:szCs w:val="24"/>
        </w:rPr>
        <w:t>inkluziju</w:t>
      </w:r>
      <w:proofErr w:type="spellEnd"/>
      <w:r w:rsidRPr="00C0186C">
        <w:rPr>
          <w:rFonts w:ascii="Times New Roman" w:hAnsi="Times New Roman" w:cs="Times New Roman"/>
          <w:sz w:val="24"/>
          <w:szCs w:val="24"/>
        </w:rPr>
        <w:t xml:space="preserve"> svih stanovnika </w:t>
      </w:r>
      <w:r w:rsidR="00283FBB" w:rsidRPr="00C0186C">
        <w:rPr>
          <w:rFonts w:ascii="Times New Roman" w:hAnsi="Times New Roman" w:cs="Times New Roman"/>
          <w:sz w:val="24"/>
          <w:szCs w:val="24"/>
        </w:rPr>
        <w:t>na potpomognutim područjima,</w:t>
      </w:r>
      <w:r w:rsidRPr="00C0186C">
        <w:rPr>
          <w:rFonts w:ascii="Times New Roman" w:hAnsi="Times New Roman" w:cs="Times New Roman"/>
          <w:sz w:val="24"/>
          <w:szCs w:val="24"/>
        </w:rPr>
        <w:t xml:space="preserve"> s posebnim naglaskom na društveno najugroženije i marginalizirane skupine.</w:t>
      </w:r>
    </w:p>
    <w:p w14:paraId="49A62643" w14:textId="77777777" w:rsidR="00495A2C" w:rsidRPr="00C0186C" w:rsidRDefault="00495A2C" w:rsidP="00B70EE8">
      <w:pPr>
        <w:pStyle w:val="NoSpacing"/>
        <w:spacing w:before="0" w:line="276" w:lineRule="auto"/>
        <w:jc w:val="both"/>
        <w:rPr>
          <w:rFonts w:ascii="Times New Roman" w:hAnsi="Times New Roman" w:cs="Times New Roman"/>
          <w:sz w:val="24"/>
          <w:szCs w:val="24"/>
        </w:rPr>
      </w:pPr>
    </w:p>
    <w:p w14:paraId="0616C178" w14:textId="3B32F217" w:rsidR="00495A2C" w:rsidRPr="00C0186C" w:rsidRDefault="00495A2C" w:rsidP="00B70EE8">
      <w:pPr>
        <w:pStyle w:val="NoSpacing"/>
        <w:spacing w:before="0" w:line="276" w:lineRule="auto"/>
        <w:jc w:val="both"/>
        <w:rPr>
          <w:rFonts w:ascii="Times New Roman" w:hAnsi="Times New Roman" w:cs="Times New Roman"/>
          <w:b/>
          <w:sz w:val="24"/>
          <w:szCs w:val="24"/>
        </w:rPr>
      </w:pPr>
      <w:r w:rsidRPr="00C0186C">
        <w:rPr>
          <w:rFonts w:ascii="Times New Roman" w:hAnsi="Times New Roman" w:cs="Times New Roman"/>
          <w:b/>
          <w:sz w:val="24"/>
          <w:szCs w:val="24"/>
        </w:rPr>
        <w:t xml:space="preserve">Mjera 8.:Društveni i gospodarski razvoj potpomognutih područja </w:t>
      </w:r>
      <w:r w:rsidRPr="00C0186C">
        <w:rPr>
          <w:rFonts w:ascii="Times New Roman" w:hAnsi="Times New Roman" w:cs="Times New Roman"/>
          <w:sz w:val="24"/>
          <w:szCs w:val="24"/>
        </w:rPr>
        <w:t>čija je</w:t>
      </w:r>
      <w:r w:rsidRPr="00C0186C">
        <w:rPr>
          <w:rFonts w:ascii="Times New Roman" w:hAnsi="Times New Roman" w:cs="Times New Roman"/>
          <w:b/>
          <w:sz w:val="24"/>
          <w:szCs w:val="24"/>
        </w:rPr>
        <w:t xml:space="preserve"> </w:t>
      </w:r>
      <w:r w:rsidRPr="00C0186C">
        <w:rPr>
          <w:rFonts w:ascii="Times New Roman" w:hAnsi="Times New Roman" w:cs="Times New Roman"/>
          <w:sz w:val="24"/>
          <w:szCs w:val="24"/>
        </w:rPr>
        <w:t xml:space="preserve">svrha pridonijeti gospodarskoj i socijalnoj revitalizaciji slabije razvijenih područja kroz ulaganja u projekte iz područja komunalne i socijalne infrastrukture provedbom različitih programa. Programi su koncipirani kao odgovor na razvojne prioritete lokalne i područne razine i predstavljaju podršku u unapređenju i razvoju društvene, javne, komunalne, socijalne i gospodarske infrastrukture. Korisnici programa u širem smislu su svi stanovnici lokalne zajednice na potpomognutim područjima koji imaju korist od provedbenih aktivnosti programa. </w:t>
      </w:r>
    </w:p>
    <w:p w14:paraId="3208C600" w14:textId="77777777" w:rsidR="00196F63" w:rsidRPr="00C0186C" w:rsidRDefault="00196F63" w:rsidP="00B70EE8">
      <w:pPr>
        <w:pStyle w:val="NoSpacing"/>
        <w:spacing w:before="0" w:line="276" w:lineRule="auto"/>
        <w:jc w:val="both"/>
        <w:rPr>
          <w:rFonts w:ascii="Times New Roman" w:hAnsi="Times New Roman" w:cs="Times New Roman"/>
          <w:sz w:val="24"/>
          <w:szCs w:val="24"/>
        </w:rPr>
      </w:pPr>
    </w:p>
    <w:p w14:paraId="15A0CAB0" w14:textId="77777777" w:rsidR="00F467E3" w:rsidRPr="00C0186C" w:rsidRDefault="00542336" w:rsidP="00B70EE8">
      <w:pPr>
        <w:pStyle w:val="NoSpacing"/>
        <w:spacing w:before="0" w:line="276" w:lineRule="auto"/>
        <w:jc w:val="both"/>
        <w:rPr>
          <w:rFonts w:ascii="Times New Roman" w:hAnsi="Times New Roman" w:cs="Times New Roman"/>
          <w:strike/>
          <w:sz w:val="24"/>
          <w:szCs w:val="24"/>
        </w:rPr>
      </w:pPr>
      <w:r w:rsidRPr="00C0186C">
        <w:rPr>
          <w:rFonts w:ascii="Times New Roman" w:hAnsi="Times New Roman" w:cs="Times New Roman"/>
          <w:sz w:val="24"/>
          <w:szCs w:val="24"/>
        </w:rPr>
        <w:t>I</w:t>
      </w:r>
      <w:r w:rsidR="00F467E3" w:rsidRPr="00C0186C">
        <w:rPr>
          <w:rFonts w:ascii="Times New Roman" w:hAnsi="Times New Roman" w:cs="Times New Roman"/>
          <w:sz w:val="24"/>
          <w:szCs w:val="24"/>
        </w:rPr>
        <w:t>zrad</w:t>
      </w:r>
      <w:r w:rsidRPr="00C0186C">
        <w:rPr>
          <w:rFonts w:ascii="Times New Roman" w:hAnsi="Times New Roman" w:cs="Times New Roman"/>
          <w:sz w:val="24"/>
          <w:szCs w:val="24"/>
        </w:rPr>
        <w:t>a</w:t>
      </w:r>
      <w:r w:rsidR="00F467E3" w:rsidRPr="00C0186C">
        <w:rPr>
          <w:rFonts w:ascii="Times New Roman" w:hAnsi="Times New Roman" w:cs="Times New Roman"/>
          <w:sz w:val="24"/>
          <w:szCs w:val="24"/>
        </w:rPr>
        <w:t xml:space="preserve">, provođenje i praćenje realizacije </w:t>
      </w:r>
      <w:r w:rsidR="00283FBB" w:rsidRPr="00C0186C">
        <w:rPr>
          <w:rFonts w:ascii="Times New Roman" w:hAnsi="Times New Roman" w:cs="Times New Roman"/>
          <w:sz w:val="24"/>
          <w:szCs w:val="24"/>
        </w:rPr>
        <w:t xml:space="preserve">ovog </w:t>
      </w:r>
      <w:r w:rsidR="00F467E3" w:rsidRPr="00C0186C">
        <w:rPr>
          <w:rFonts w:ascii="Times New Roman" w:hAnsi="Times New Roman" w:cs="Times New Roman"/>
          <w:sz w:val="24"/>
          <w:szCs w:val="24"/>
        </w:rPr>
        <w:t xml:space="preserve">Programa prvenstveno je </w:t>
      </w:r>
      <w:r w:rsidRPr="00C0186C">
        <w:rPr>
          <w:rFonts w:ascii="Times New Roman" w:hAnsi="Times New Roman" w:cs="Times New Roman"/>
          <w:sz w:val="24"/>
          <w:szCs w:val="24"/>
        </w:rPr>
        <w:t xml:space="preserve">u nadležnosti </w:t>
      </w:r>
      <w:r w:rsidR="00283FBB" w:rsidRPr="00C0186C">
        <w:rPr>
          <w:rFonts w:ascii="Times New Roman" w:hAnsi="Times New Roman" w:cs="Times New Roman"/>
          <w:sz w:val="24"/>
          <w:szCs w:val="24"/>
        </w:rPr>
        <w:t>MRRFEU</w:t>
      </w:r>
      <w:r w:rsidR="00541D8D" w:rsidRPr="00C0186C">
        <w:rPr>
          <w:rFonts w:ascii="Times New Roman" w:hAnsi="Times New Roman" w:cs="Times New Roman"/>
          <w:sz w:val="24"/>
          <w:szCs w:val="24"/>
        </w:rPr>
        <w:t>-a</w:t>
      </w:r>
      <w:r w:rsidRPr="00C0186C">
        <w:rPr>
          <w:rFonts w:ascii="Times New Roman" w:hAnsi="Times New Roman" w:cs="Times New Roman"/>
          <w:sz w:val="24"/>
          <w:szCs w:val="24"/>
        </w:rPr>
        <w:t xml:space="preserve">. Ministarstvo, odnosno pojedini </w:t>
      </w:r>
      <w:r w:rsidR="000D4BEC" w:rsidRPr="00C0186C">
        <w:rPr>
          <w:rFonts w:ascii="Times New Roman" w:hAnsi="Times New Roman" w:cs="Times New Roman"/>
          <w:sz w:val="24"/>
          <w:szCs w:val="24"/>
        </w:rPr>
        <w:t xml:space="preserve">njegovi </w:t>
      </w:r>
      <w:r w:rsidRPr="00C0186C">
        <w:rPr>
          <w:rFonts w:ascii="Times New Roman" w:hAnsi="Times New Roman" w:cs="Times New Roman"/>
          <w:sz w:val="24"/>
          <w:szCs w:val="24"/>
        </w:rPr>
        <w:t>organizacijski dijelovi ključni su segment institucionalnog okvira važan i s aspekta koordinacije drugih sudionika, odnosno institucija relevantnih za provedbu</w:t>
      </w:r>
      <w:r w:rsidR="00FF3BC5" w:rsidRPr="00C0186C">
        <w:rPr>
          <w:rFonts w:ascii="Times New Roman" w:hAnsi="Times New Roman" w:cs="Times New Roman"/>
          <w:sz w:val="24"/>
          <w:szCs w:val="24"/>
        </w:rPr>
        <w:t xml:space="preserve"> </w:t>
      </w:r>
      <w:r w:rsidR="00283FBB" w:rsidRPr="00C0186C">
        <w:rPr>
          <w:rFonts w:ascii="Times New Roman" w:hAnsi="Times New Roman" w:cs="Times New Roman"/>
          <w:sz w:val="24"/>
          <w:szCs w:val="24"/>
        </w:rPr>
        <w:t xml:space="preserve">ovog </w:t>
      </w:r>
      <w:r w:rsidR="00D0420F" w:rsidRPr="00C0186C">
        <w:rPr>
          <w:rFonts w:ascii="Times New Roman" w:hAnsi="Times New Roman" w:cs="Times New Roman"/>
          <w:sz w:val="24"/>
          <w:szCs w:val="24"/>
        </w:rPr>
        <w:t>Programa.</w:t>
      </w:r>
    </w:p>
    <w:p w14:paraId="548C8FDD" w14:textId="77777777" w:rsidR="00BC067E" w:rsidRPr="00C0186C" w:rsidRDefault="00BC067E" w:rsidP="00B70EE8">
      <w:pPr>
        <w:pStyle w:val="NoSpacing"/>
        <w:spacing w:before="0" w:line="276" w:lineRule="auto"/>
        <w:jc w:val="both"/>
        <w:rPr>
          <w:rFonts w:ascii="Times New Roman" w:hAnsi="Times New Roman" w:cs="Times New Roman"/>
          <w:sz w:val="24"/>
          <w:szCs w:val="24"/>
        </w:rPr>
      </w:pPr>
    </w:p>
    <w:p w14:paraId="2F77E787" w14:textId="77777777" w:rsidR="00773954" w:rsidRPr="00C0186C" w:rsidRDefault="00EA45C1"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Osim MRRFEU</w:t>
      </w:r>
      <w:r w:rsidR="00541D8D" w:rsidRPr="00C0186C">
        <w:rPr>
          <w:rFonts w:ascii="Times New Roman" w:hAnsi="Times New Roman" w:cs="Times New Roman"/>
          <w:sz w:val="24"/>
          <w:szCs w:val="24"/>
        </w:rPr>
        <w:t>-a</w:t>
      </w:r>
      <w:r w:rsidR="002F3626" w:rsidRPr="00C0186C">
        <w:rPr>
          <w:rFonts w:ascii="Times New Roman" w:hAnsi="Times New Roman" w:cs="Times New Roman"/>
          <w:sz w:val="24"/>
          <w:szCs w:val="24"/>
        </w:rPr>
        <w:t xml:space="preserve"> </w:t>
      </w:r>
      <w:r w:rsidR="00AA1495" w:rsidRPr="00C0186C">
        <w:rPr>
          <w:rFonts w:ascii="Times New Roman" w:hAnsi="Times New Roman" w:cs="Times New Roman"/>
          <w:sz w:val="24"/>
          <w:szCs w:val="24"/>
        </w:rPr>
        <w:t xml:space="preserve">za </w:t>
      </w:r>
      <w:r w:rsidR="002F3626" w:rsidRPr="00C0186C">
        <w:rPr>
          <w:rFonts w:ascii="Times New Roman" w:hAnsi="Times New Roman" w:cs="Times New Roman"/>
          <w:sz w:val="24"/>
          <w:szCs w:val="24"/>
        </w:rPr>
        <w:t>uspješnost izrade i provedbe</w:t>
      </w:r>
      <w:r w:rsidR="00B90379" w:rsidRPr="00C0186C">
        <w:rPr>
          <w:rFonts w:ascii="Times New Roman" w:hAnsi="Times New Roman" w:cs="Times New Roman"/>
          <w:sz w:val="24"/>
          <w:szCs w:val="24"/>
        </w:rPr>
        <w:t xml:space="preserve"> </w:t>
      </w:r>
      <w:r w:rsidR="00283FBB" w:rsidRPr="00C0186C">
        <w:rPr>
          <w:rFonts w:ascii="Times New Roman" w:hAnsi="Times New Roman" w:cs="Times New Roman"/>
          <w:sz w:val="24"/>
          <w:szCs w:val="24"/>
        </w:rPr>
        <w:t xml:space="preserve">ovog </w:t>
      </w:r>
      <w:r w:rsidR="00B90379" w:rsidRPr="00C0186C">
        <w:rPr>
          <w:rFonts w:ascii="Times New Roman" w:hAnsi="Times New Roman" w:cs="Times New Roman"/>
          <w:sz w:val="24"/>
          <w:szCs w:val="24"/>
        </w:rPr>
        <w:t>Progra</w:t>
      </w:r>
      <w:r w:rsidR="002F3626" w:rsidRPr="00C0186C">
        <w:rPr>
          <w:rFonts w:ascii="Times New Roman" w:hAnsi="Times New Roman" w:cs="Times New Roman"/>
          <w:sz w:val="24"/>
          <w:szCs w:val="24"/>
        </w:rPr>
        <w:t>ma</w:t>
      </w:r>
      <w:r w:rsidR="001535DF" w:rsidRPr="00C0186C">
        <w:rPr>
          <w:rFonts w:ascii="Times New Roman" w:hAnsi="Times New Roman" w:cs="Times New Roman"/>
          <w:sz w:val="24"/>
          <w:szCs w:val="24"/>
        </w:rPr>
        <w:t xml:space="preserve">, </w:t>
      </w:r>
      <w:r w:rsidR="004F623E" w:rsidRPr="00C0186C">
        <w:rPr>
          <w:rFonts w:ascii="Times New Roman" w:hAnsi="Times New Roman" w:cs="Times New Roman"/>
          <w:sz w:val="24"/>
          <w:szCs w:val="24"/>
        </w:rPr>
        <w:t>posebnu važnost imaju i tijela državne uprave te druga javnopravna tijela koja svojim djelovanjem mogu znatnije pridonijeti njihovu razvoju.</w:t>
      </w:r>
    </w:p>
    <w:p w14:paraId="302B3F09" w14:textId="77777777" w:rsidR="00773954" w:rsidRPr="00C0186C" w:rsidRDefault="00773954" w:rsidP="00B70EE8">
      <w:pPr>
        <w:pStyle w:val="NoSpacing"/>
        <w:spacing w:before="0" w:line="276" w:lineRule="auto"/>
        <w:rPr>
          <w:rFonts w:ascii="Times New Roman" w:hAnsi="Times New Roman" w:cs="Times New Roman"/>
          <w:sz w:val="24"/>
          <w:szCs w:val="24"/>
        </w:rPr>
      </w:pPr>
    </w:p>
    <w:p w14:paraId="7D5B0DE1" w14:textId="77777777" w:rsidR="00651867" w:rsidRPr="00484F87" w:rsidRDefault="00651867" w:rsidP="000C6FFD">
      <w:pPr>
        <w:pStyle w:val="NoSpacing"/>
        <w:spacing w:before="0" w:line="276" w:lineRule="auto"/>
        <w:jc w:val="both"/>
        <w:rPr>
          <w:rFonts w:ascii="Times New Roman" w:hAnsi="Times New Roman" w:cs="Times New Roman"/>
          <w:sz w:val="24"/>
          <w:szCs w:val="24"/>
        </w:rPr>
      </w:pPr>
      <w:r w:rsidRPr="00484F87">
        <w:rPr>
          <w:rFonts w:ascii="Times New Roman" w:hAnsi="Times New Roman" w:cs="Times New Roman"/>
          <w:sz w:val="24"/>
          <w:szCs w:val="24"/>
        </w:rPr>
        <w:t xml:space="preserve">U provedbi mjera uzet će se u obzir ciljevi klimatske politike doprinos klimatskoj neutralnosti (smanjenje emisija stakleničkih plinova tj. ublažavanje klimatskim promjenama) i jačanju otpornosti na klimatske promjene (prilagodba klimatskim promjenama). Naime, cijela Hrvatska je pod utjecajem klimatskih promjena i trpi velike štete jer nije prilagođena rastućem trendu klimatskih promjena (udio od gubitaka zbog prirodnih nepogoda u prosječni BDP za razdoblje 2005. – 2014. je bio preko 0,25%). Stoga, klimatske promjene zahtijevaju provedbu mjera kojima bi se umanjio rizik i izbjegle negativne posljedice za gospodarstvo, okoliš i društvo. S obzirom na problematiku klimatskih promjena ciljevi i mjere Programa su usklađeni sa Strategijom prilagodbe klimatskim promjenama u Republici Hrvatskoj za razdoblje do 2040. godine s pogledom na 2070. godinu („Narodne novine“, broj 46/20) i Strategijom </w:t>
      </w:r>
      <w:proofErr w:type="spellStart"/>
      <w:r w:rsidRPr="00484F87">
        <w:rPr>
          <w:rFonts w:ascii="Times New Roman" w:hAnsi="Times New Roman" w:cs="Times New Roman"/>
          <w:sz w:val="24"/>
          <w:szCs w:val="24"/>
        </w:rPr>
        <w:t>niskougljičnog</w:t>
      </w:r>
      <w:proofErr w:type="spellEnd"/>
      <w:r w:rsidRPr="00484F87">
        <w:rPr>
          <w:rFonts w:ascii="Times New Roman" w:hAnsi="Times New Roman" w:cs="Times New Roman"/>
          <w:sz w:val="24"/>
          <w:szCs w:val="24"/>
        </w:rPr>
        <w:t xml:space="preserve"> razvoja Republike Hrvatske do 2030. s pogledom na 2050. godinu („Narodne novine“, broj 63/21). </w:t>
      </w:r>
    </w:p>
    <w:p w14:paraId="293073A4" w14:textId="77777777" w:rsidR="00651867" w:rsidRPr="00484F87" w:rsidRDefault="00651867" w:rsidP="000C6FFD">
      <w:pPr>
        <w:pStyle w:val="NoSpacing"/>
        <w:spacing w:before="0" w:line="276" w:lineRule="auto"/>
        <w:jc w:val="both"/>
        <w:rPr>
          <w:rFonts w:ascii="Times New Roman" w:hAnsi="Times New Roman" w:cs="Times New Roman"/>
          <w:sz w:val="24"/>
          <w:szCs w:val="24"/>
        </w:rPr>
      </w:pPr>
    </w:p>
    <w:p w14:paraId="42D11AA4" w14:textId="77777777" w:rsidR="00651867" w:rsidRPr="00484F87" w:rsidRDefault="00651867" w:rsidP="000C6FFD">
      <w:pPr>
        <w:pStyle w:val="NoSpacing"/>
        <w:spacing w:before="0" w:line="276" w:lineRule="auto"/>
        <w:jc w:val="both"/>
        <w:rPr>
          <w:rFonts w:ascii="Times New Roman" w:hAnsi="Times New Roman" w:cs="Times New Roman"/>
          <w:sz w:val="24"/>
          <w:szCs w:val="24"/>
        </w:rPr>
      </w:pPr>
      <w:r w:rsidRPr="00484F87">
        <w:rPr>
          <w:rFonts w:ascii="Times New Roman" w:hAnsi="Times New Roman" w:cs="Times New Roman"/>
          <w:sz w:val="24"/>
          <w:szCs w:val="24"/>
        </w:rPr>
        <w:t xml:space="preserve">Energetska tranzicija za održivo gospodarstvo nužna je sukladno Europskom zelenom planu i cilju da do 2050. Europa postane klimatski neutralni kontinent. U skladu s tim, niz mjera vezanih uz energetski sektor u Hrvatskoj već radi na </w:t>
      </w:r>
      <w:proofErr w:type="spellStart"/>
      <w:r w:rsidRPr="00484F87">
        <w:rPr>
          <w:rFonts w:ascii="Times New Roman" w:hAnsi="Times New Roman" w:cs="Times New Roman"/>
          <w:sz w:val="24"/>
          <w:szCs w:val="24"/>
        </w:rPr>
        <w:t>dekarbonizaciji</w:t>
      </w:r>
      <w:proofErr w:type="spellEnd"/>
      <w:r w:rsidRPr="00484F87">
        <w:rPr>
          <w:rFonts w:ascii="Times New Roman" w:hAnsi="Times New Roman" w:cs="Times New Roman"/>
          <w:sz w:val="24"/>
          <w:szCs w:val="24"/>
        </w:rPr>
        <w:t>, ali obzirom na ciljeve do 2030. nužno je uložiti dodatni napor u projekte koji će ozeleniti energetski sektor.</w:t>
      </w:r>
    </w:p>
    <w:p w14:paraId="6AF7EB07" w14:textId="77777777" w:rsidR="00651867" w:rsidRPr="00484F87" w:rsidRDefault="00651867" w:rsidP="000C6FFD">
      <w:pPr>
        <w:pStyle w:val="NoSpacing"/>
        <w:spacing w:before="0" w:line="276" w:lineRule="auto"/>
        <w:jc w:val="both"/>
        <w:rPr>
          <w:rFonts w:ascii="Times New Roman" w:hAnsi="Times New Roman" w:cs="Times New Roman"/>
          <w:sz w:val="24"/>
          <w:szCs w:val="24"/>
        </w:rPr>
      </w:pPr>
    </w:p>
    <w:p w14:paraId="4400697F" w14:textId="6AB42AF6" w:rsidR="00651867" w:rsidRPr="00D315CD" w:rsidRDefault="00651867" w:rsidP="000C6FFD">
      <w:pPr>
        <w:pStyle w:val="NoSpacing"/>
        <w:spacing w:before="0" w:line="276" w:lineRule="auto"/>
        <w:jc w:val="both"/>
        <w:rPr>
          <w:rFonts w:ascii="Times New Roman" w:hAnsi="Times New Roman" w:cs="Times New Roman"/>
          <w:sz w:val="24"/>
          <w:szCs w:val="24"/>
        </w:rPr>
      </w:pPr>
      <w:r w:rsidRPr="00484F87">
        <w:rPr>
          <w:rFonts w:ascii="Times New Roman" w:hAnsi="Times New Roman" w:cs="Times New Roman"/>
          <w:sz w:val="24"/>
          <w:szCs w:val="24"/>
        </w:rPr>
        <w:t>Za projekte koji se planiraju unutar Programa potrebno je primjenjivati okolišne postupke vezane za procjenu utjecaja na okoliš sukladno relevantnim nacionalnoj propisima i smjernicama. Kroz ove postupke te uz pridržavanje propisanih mjera zaštite okoliša osigurava se da planirane reforme i investicije nemaju štetan utjecaj na okoliš.</w:t>
      </w:r>
    </w:p>
    <w:p w14:paraId="7FD5299D" w14:textId="6E7528A3" w:rsidR="001E5E21" w:rsidRDefault="001E5E21" w:rsidP="00651867">
      <w:pPr>
        <w:pStyle w:val="NoSpacing"/>
        <w:spacing w:before="0" w:line="276" w:lineRule="auto"/>
        <w:jc w:val="both"/>
        <w:rPr>
          <w:rFonts w:ascii="Times New Roman" w:hAnsi="Times New Roman" w:cs="Times New Roman"/>
          <w:sz w:val="24"/>
          <w:szCs w:val="24"/>
        </w:rPr>
      </w:pPr>
    </w:p>
    <w:p w14:paraId="1FA4DFEA" w14:textId="132EE0AA" w:rsidR="001424DD" w:rsidRDefault="001424DD" w:rsidP="00651867">
      <w:pPr>
        <w:pStyle w:val="NoSpacing"/>
        <w:spacing w:before="0" w:line="276" w:lineRule="auto"/>
        <w:jc w:val="both"/>
        <w:rPr>
          <w:rFonts w:ascii="Times New Roman" w:hAnsi="Times New Roman" w:cs="Times New Roman"/>
          <w:sz w:val="24"/>
          <w:szCs w:val="24"/>
        </w:rPr>
      </w:pPr>
    </w:p>
    <w:p w14:paraId="086D8645" w14:textId="77777777" w:rsidR="001424DD" w:rsidRPr="00D315CD" w:rsidRDefault="001424DD" w:rsidP="00651867">
      <w:pPr>
        <w:pStyle w:val="NoSpacing"/>
        <w:spacing w:before="0" w:line="276" w:lineRule="auto"/>
        <w:jc w:val="both"/>
        <w:rPr>
          <w:rFonts w:ascii="Times New Roman" w:hAnsi="Times New Roman" w:cs="Times New Roman"/>
          <w:sz w:val="24"/>
          <w:szCs w:val="24"/>
        </w:rPr>
      </w:pPr>
    </w:p>
    <w:p w14:paraId="50552864" w14:textId="77777777" w:rsidR="00DE04FC" w:rsidRPr="00C0186C" w:rsidRDefault="00DE04FC" w:rsidP="00B70EE8">
      <w:pPr>
        <w:pStyle w:val="NoSpacing"/>
        <w:spacing w:before="0" w:line="276" w:lineRule="auto"/>
        <w:rPr>
          <w:rFonts w:ascii="Times New Roman" w:hAnsi="Times New Roman" w:cs="Times New Roman"/>
          <w:sz w:val="24"/>
          <w:szCs w:val="24"/>
        </w:rPr>
      </w:pPr>
    </w:p>
    <w:p w14:paraId="4E5F5F3E" w14:textId="00213DE4" w:rsidR="002F6A60" w:rsidRPr="00C0186C" w:rsidRDefault="00F252D6" w:rsidP="00CA63B9">
      <w:pPr>
        <w:pStyle w:val="Heading1"/>
        <w:numPr>
          <w:ilvl w:val="0"/>
          <w:numId w:val="42"/>
        </w:numPr>
        <w:shd w:val="clear" w:color="auto" w:fill="DEEAF6" w:themeFill="accent1" w:themeFillTint="33"/>
        <w:spacing w:before="0"/>
        <w:ind w:left="426" w:hanging="426"/>
        <w:rPr>
          <w:rFonts w:ascii="Times New Roman" w:hAnsi="Times New Roman" w:cs="Times New Roman"/>
          <w:b/>
          <w:bCs/>
          <w:color w:val="auto"/>
          <w:sz w:val="28"/>
          <w:szCs w:val="28"/>
        </w:rPr>
      </w:pPr>
      <w:bookmarkStart w:id="9" w:name="_Toc95891855"/>
      <w:r w:rsidRPr="00C0186C">
        <w:rPr>
          <w:rFonts w:ascii="Times New Roman" w:hAnsi="Times New Roman" w:cs="Times New Roman"/>
          <w:b/>
          <w:bCs/>
          <w:color w:val="auto"/>
          <w:sz w:val="28"/>
          <w:szCs w:val="28"/>
        </w:rPr>
        <w:t>KLJUČNI NALAZI ANALITIČKE PODLOGE</w:t>
      </w:r>
      <w:bookmarkEnd w:id="9"/>
      <w:r w:rsidR="00283FBB" w:rsidRPr="00C0186C">
        <w:rPr>
          <w:rFonts w:ascii="Times New Roman" w:hAnsi="Times New Roman" w:cs="Times New Roman"/>
          <w:b/>
          <w:bCs/>
          <w:color w:val="auto"/>
          <w:sz w:val="28"/>
          <w:szCs w:val="28"/>
        </w:rPr>
        <w:t xml:space="preserve"> </w:t>
      </w:r>
    </w:p>
    <w:p w14:paraId="3BD5B30D" w14:textId="77777777" w:rsidR="002F6A60" w:rsidRPr="00C0186C" w:rsidRDefault="002F6A60" w:rsidP="00B70EE8">
      <w:pPr>
        <w:pStyle w:val="NoSpacing"/>
        <w:spacing w:before="0" w:line="276" w:lineRule="auto"/>
        <w:rPr>
          <w:rFonts w:ascii="Times New Roman" w:hAnsi="Times New Roman" w:cs="Times New Roman"/>
          <w:sz w:val="24"/>
          <w:szCs w:val="24"/>
        </w:rPr>
      </w:pPr>
    </w:p>
    <w:p w14:paraId="1042D849" w14:textId="08E23A2B" w:rsidR="002D70A4" w:rsidRPr="00C0186C" w:rsidRDefault="00A33E56"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Za potrebe ovog Programa izrađena je stručna analitička podloga u kojoj su</w:t>
      </w:r>
      <w:r w:rsidR="00945C7E" w:rsidRPr="00C0186C">
        <w:rPr>
          <w:rFonts w:ascii="Times New Roman" w:hAnsi="Times New Roman" w:cs="Times New Roman"/>
          <w:sz w:val="24"/>
          <w:szCs w:val="24"/>
        </w:rPr>
        <w:t xml:space="preserve"> istražena dugoročna obilježja </w:t>
      </w:r>
      <w:r w:rsidRPr="00C0186C">
        <w:rPr>
          <w:rFonts w:ascii="Times New Roman" w:hAnsi="Times New Roman" w:cs="Times New Roman"/>
          <w:sz w:val="24"/>
          <w:szCs w:val="24"/>
        </w:rPr>
        <w:t>PP temeljem star</w:t>
      </w:r>
      <w:r w:rsidR="00945C7E" w:rsidRPr="00C0186C">
        <w:rPr>
          <w:rFonts w:ascii="Times New Roman" w:hAnsi="Times New Roman" w:cs="Times New Roman"/>
          <w:sz w:val="24"/>
          <w:szCs w:val="24"/>
        </w:rPr>
        <w:t>e metodologije izračuna indeksa razvijenosti</w:t>
      </w:r>
      <w:r w:rsidRPr="00C0186C">
        <w:rPr>
          <w:rFonts w:ascii="Times New Roman" w:hAnsi="Times New Roman" w:cs="Times New Roman"/>
          <w:sz w:val="24"/>
          <w:szCs w:val="24"/>
        </w:rPr>
        <w:t xml:space="preserve">, te </w:t>
      </w:r>
      <w:r w:rsidR="001F41E7" w:rsidRPr="00C0186C">
        <w:rPr>
          <w:rFonts w:ascii="Times New Roman" w:hAnsi="Times New Roman" w:cs="Times New Roman"/>
          <w:sz w:val="24"/>
          <w:szCs w:val="24"/>
        </w:rPr>
        <w:t xml:space="preserve">je </w:t>
      </w:r>
      <w:r w:rsidRPr="00C0186C">
        <w:rPr>
          <w:rFonts w:ascii="Times New Roman" w:hAnsi="Times New Roman" w:cs="Times New Roman"/>
          <w:sz w:val="24"/>
          <w:szCs w:val="24"/>
        </w:rPr>
        <w:t xml:space="preserve">izvršena ocjena trogodišnjih kretanja </w:t>
      </w:r>
      <w:r w:rsidR="00945C7E" w:rsidRPr="00C0186C">
        <w:rPr>
          <w:rFonts w:ascii="Times New Roman" w:hAnsi="Times New Roman" w:cs="Times New Roman"/>
          <w:sz w:val="24"/>
          <w:szCs w:val="24"/>
        </w:rPr>
        <w:t xml:space="preserve">koja se odnosi na </w:t>
      </w:r>
      <w:r w:rsidR="007038CF" w:rsidRPr="00C0186C">
        <w:rPr>
          <w:rFonts w:ascii="Times New Roman" w:hAnsi="Times New Roman" w:cs="Times New Roman"/>
          <w:sz w:val="24"/>
          <w:szCs w:val="24"/>
        </w:rPr>
        <w:t>jedinice lokalne samouprave (u daljnjem tekstu JLS)</w:t>
      </w:r>
      <w:r w:rsidR="00945C7E" w:rsidRPr="00C0186C">
        <w:rPr>
          <w:rFonts w:ascii="Times New Roman" w:hAnsi="Times New Roman" w:cs="Times New Roman"/>
          <w:sz w:val="24"/>
          <w:szCs w:val="24"/>
        </w:rPr>
        <w:t xml:space="preserve"> i </w:t>
      </w:r>
      <w:r w:rsidR="00625456" w:rsidRPr="00C0186C">
        <w:rPr>
          <w:rFonts w:ascii="Times New Roman" w:hAnsi="Times New Roman" w:cs="Times New Roman"/>
          <w:sz w:val="24"/>
          <w:szCs w:val="24"/>
        </w:rPr>
        <w:t>jedinica područne (regionalne) samouprave</w:t>
      </w:r>
      <w:r w:rsidR="00945C7E" w:rsidRPr="00C0186C">
        <w:rPr>
          <w:rFonts w:ascii="Times New Roman" w:hAnsi="Times New Roman" w:cs="Times New Roman"/>
          <w:sz w:val="24"/>
          <w:szCs w:val="24"/>
        </w:rPr>
        <w:t xml:space="preserve"> sa </w:t>
      </w:r>
      <w:r w:rsidR="004859A7" w:rsidRPr="00C0186C">
        <w:rPr>
          <w:rFonts w:ascii="Times New Roman" w:hAnsi="Times New Roman" w:cs="Times New Roman"/>
          <w:sz w:val="24"/>
          <w:szCs w:val="24"/>
        </w:rPr>
        <w:t>statusom</w:t>
      </w:r>
      <w:r w:rsidR="00945C7E" w:rsidRPr="00C0186C">
        <w:rPr>
          <w:rFonts w:ascii="Times New Roman" w:hAnsi="Times New Roman" w:cs="Times New Roman"/>
          <w:sz w:val="24"/>
          <w:szCs w:val="24"/>
        </w:rPr>
        <w:t xml:space="preserve"> PP</w:t>
      </w:r>
      <w:r w:rsidR="00D654F8" w:rsidRPr="00C0186C">
        <w:rPr>
          <w:rFonts w:ascii="Times New Roman" w:hAnsi="Times New Roman" w:cs="Times New Roman"/>
          <w:sz w:val="24"/>
          <w:szCs w:val="24"/>
        </w:rPr>
        <w:t>-a</w:t>
      </w:r>
      <w:r w:rsidR="00945C7E" w:rsidRPr="00C0186C">
        <w:rPr>
          <w:rFonts w:ascii="Times New Roman" w:hAnsi="Times New Roman" w:cs="Times New Roman"/>
          <w:sz w:val="24"/>
          <w:szCs w:val="24"/>
        </w:rPr>
        <w:t xml:space="preserve"> prema novom indeksu razvijenosti. </w:t>
      </w:r>
      <w:r w:rsidRPr="00C0186C">
        <w:rPr>
          <w:rFonts w:ascii="Times New Roman" w:hAnsi="Times New Roman" w:cs="Times New Roman"/>
          <w:sz w:val="24"/>
          <w:szCs w:val="24"/>
        </w:rPr>
        <w:t>Nalazi navedene analitičke podloge važni su za ovaj Program kao jedno od polazišta za defini</w:t>
      </w:r>
      <w:r w:rsidR="00945C7E" w:rsidRPr="00C0186C">
        <w:rPr>
          <w:rFonts w:ascii="Times New Roman" w:hAnsi="Times New Roman" w:cs="Times New Roman"/>
          <w:sz w:val="24"/>
          <w:szCs w:val="24"/>
        </w:rPr>
        <w:t xml:space="preserve">ranje ključnih ciljeva razvoja </w:t>
      </w:r>
      <w:r w:rsidRPr="00C0186C">
        <w:rPr>
          <w:rFonts w:ascii="Times New Roman" w:hAnsi="Times New Roman" w:cs="Times New Roman"/>
          <w:sz w:val="24"/>
          <w:szCs w:val="24"/>
        </w:rPr>
        <w:t>PP, ali i konkretnih mjera i aktivnosti za razdoblje 20</w:t>
      </w:r>
      <w:r w:rsidR="00745155" w:rsidRPr="00C0186C">
        <w:rPr>
          <w:rFonts w:ascii="Times New Roman" w:hAnsi="Times New Roman" w:cs="Times New Roman"/>
          <w:sz w:val="24"/>
          <w:szCs w:val="24"/>
        </w:rPr>
        <w:t>2</w:t>
      </w:r>
      <w:r w:rsidR="00A759C0">
        <w:rPr>
          <w:rFonts w:ascii="Times New Roman" w:hAnsi="Times New Roman" w:cs="Times New Roman"/>
          <w:sz w:val="24"/>
          <w:szCs w:val="24"/>
        </w:rPr>
        <w:t>2</w:t>
      </w:r>
      <w:r w:rsidRPr="00C0186C">
        <w:rPr>
          <w:rFonts w:ascii="Times New Roman" w:hAnsi="Times New Roman" w:cs="Times New Roman"/>
          <w:sz w:val="24"/>
          <w:szCs w:val="24"/>
        </w:rPr>
        <w:t>.- 202</w:t>
      </w:r>
      <w:r w:rsidR="00A759C0">
        <w:rPr>
          <w:rFonts w:ascii="Times New Roman" w:hAnsi="Times New Roman" w:cs="Times New Roman"/>
          <w:sz w:val="24"/>
          <w:szCs w:val="24"/>
        </w:rPr>
        <w:t>5</w:t>
      </w:r>
      <w:r w:rsidRPr="00C0186C">
        <w:rPr>
          <w:rFonts w:ascii="Times New Roman" w:hAnsi="Times New Roman" w:cs="Times New Roman"/>
          <w:sz w:val="24"/>
          <w:szCs w:val="24"/>
        </w:rPr>
        <w:t xml:space="preserve">. </w:t>
      </w:r>
    </w:p>
    <w:p w14:paraId="6F7024D6" w14:textId="77777777" w:rsidR="002D70A4" w:rsidRPr="00C0186C" w:rsidRDefault="002D70A4" w:rsidP="00B70EE8">
      <w:pPr>
        <w:pStyle w:val="NoSpacing"/>
        <w:spacing w:before="0" w:line="276" w:lineRule="auto"/>
        <w:jc w:val="both"/>
        <w:rPr>
          <w:rFonts w:ascii="Times New Roman" w:hAnsi="Times New Roman" w:cs="Times New Roman"/>
          <w:sz w:val="24"/>
          <w:szCs w:val="24"/>
        </w:rPr>
      </w:pPr>
    </w:p>
    <w:p w14:paraId="3C42080C" w14:textId="77777777" w:rsidR="00E106A2" w:rsidRPr="00C0186C" w:rsidRDefault="00E106A2"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Provedena s</w:t>
      </w:r>
      <w:r w:rsidR="002D70A4" w:rsidRPr="00C0186C">
        <w:rPr>
          <w:rFonts w:ascii="Times New Roman" w:hAnsi="Times New Roman" w:cs="Times New Roman"/>
          <w:sz w:val="24"/>
          <w:szCs w:val="24"/>
        </w:rPr>
        <w:t xml:space="preserve">ocijalno-ekonomska analiza </w:t>
      </w:r>
      <w:r w:rsidR="00945C7E" w:rsidRPr="00C0186C">
        <w:rPr>
          <w:rFonts w:ascii="Times New Roman" w:hAnsi="Times New Roman" w:cs="Times New Roman"/>
          <w:sz w:val="24"/>
          <w:szCs w:val="24"/>
        </w:rPr>
        <w:t xml:space="preserve">potpomognutih </w:t>
      </w:r>
      <w:r w:rsidR="002D70A4" w:rsidRPr="00C0186C">
        <w:rPr>
          <w:rFonts w:ascii="Times New Roman" w:hAnsi="Times New Roman" w:cs="Times New Roman"/>
          <w:sz w:val="24"/>
          <w:szCs w:val="24"/>
        </w:rPr>
        <w:t>područja metodološki se sastoj</w:t>
      </w:r>
      <w:r w:rsidRPr="00C0186C">
        <w:rPr>
          <w:rFonts w:ascii="Times New Roman" w:hAnsi="Times New Roman" w:cs="Times New Roman"/>
          <w:sz w:val="24"/>
          <w:szCs w:val="24"/>
        </w:rPr>
        <w:t>i</w:t>
      </w:r>
      <w:r w:rsidR="002D70A4" w:rsidRPr="00C0186C">
        <w:rPr>
          <w:rFonts w:ascii="Times New Roman" w:hAnsi="Times New Roman" w:cs="Times New Roman"/>
          <w:sz w:val="24"/>
          <w:szCs w:val="24"/>
        </w:rPr>
        <w:t xml:space="preserve"> od dva dijela</w:t>
      </w:r>
      <w:r w:rsidR="00AC4271" w:rsidRPr="00C0186C">
        <w:rPr>
          <w:rFonts w:ascii="Times New Roman" w:hAnsi="Times New Roman" w:cs="Times New Roman"/>
          <w:sz w:val="24"/>
          <w:szCs w:val="24"/>
        </w:rPr>
        <w:t>.</w:t>
      </w:r>
      <w:r w:rsidR="002D70A4" w:rsidRPr="00C0186C">
        <w:rPr>
          <w:rFonts w:ascii="Times New Roman" w:hAnsi="Times New Roman" w:cs="Times New Roman"/>
          <w:sz w:val="24"/>
          <w:szCs w:val="24"/>
        </w:rPr>
        <w:t xml:space="preserve"> U prvom dijelu istražena su demografska, gospodarska i financijska kretanja </w:t>
      </w:r>
      <w:r w:rsidR="007038CF" w:rsidRPr="00C0186C">
        <w:rPr>
          <w:rFonts w:ascii="Times New Roman" w:hAnsi="Times New Roman" w:cs="Times New Roman"/>
          <w:sz w:val="24"/>
          <w:szCs w:val="24"/>
        </w:rPr>
        <w:t>JLS</w:t>
      </w:r>
      <w:r w:rsidR="000B4751" w:rsidRPr="00C0186C">
        <w:rPr>
          <w:rFonts w:ascii="Times New Roman" w:hAnsi="Times New Roman" w:cs="Times New Roman"/>
          <w:sz w:val="24"/>
          <w:szCs w:val="24"/>
        </w:rPr>
        <w:t>-ova</w:t>
      </w:r>
      <w:r w:rsidR="002D70A4" w:rsidRPr="00C0186C">
        <w:rPr>
          <w:rFonts w:ascii="Times New Roman" w:hAnsi="Times New Roman" w:cs="Times New Roman"/>
          <w:sz w:val="24"/>
          <w:szCs w:val="24"/>
        </w:rPr>
        <w:t xml:space="preserve"> </w:t>
      </w:r>
      <w:r w:rsidR="004859A7" w:rsidRPr="00C0186C">
        <w:rPr>
          <w:rFonts w:ascii="Times New Roman" w:hAnsi="Times New Roman" w:cs="Times New Roman"/>
          <w:sz w:val="24"/>
          <w:szCs w:val="24"/>
        </w:rPr>
        <w:t>koj</w:t>
      </w:r>
      <w:r w:rsidR="000B4751" w:rsidRPr="00C0186C">
        <w:rPr>
          <w:rFonts w:ascii="Times New Roman" w:hAnsi="Times New Roman" w:cs="Times New Roman"/>
          <w:sz w:val="24"/>
          <w:szCs w:val="24"/>
        </w:rPr>
        <w:t>i</w:t>
      </w:r>
      <w:r w:rsidR="004859A7" w:rsidRPr="00C0186C">
        <w:rPr>
          <w:rFonts w:ascii="Times New Roman" w:hAnsi="Times New Roman" w:cs="Times New Roman"/>
          <w:sz w:val="24"/>
          <w:szCs w:val="24"/>
        </w:rPr>
        <w:t xml:space="preserve"> su imal</w:t>
      </w:r>
      <w:r w:rsidR="000B4751" w:rsidRPr="00C0186C">
        <w:rPr>
          <w:rFonts w:ascii="Times New Roman" w:hAnsi="Times New Roman" w:cs="Times New Roman"/>
          <w:sz w:val="24"/>
          <w:szCs w:val="24"/>
        </w:rPr>
        <w:t>i</w:t>
      </w:r>
      <w:r w:rsidR="004859A7" w:rsidRPr="00C0186C">
        <w:rPr>
          <w:rFonts w:ascii="Times New Roman" w:hAnsi="Times New Roman" w:cs="Times New Roman"/>
          <w:sz w:val="24"/>
          <w:szCs w:val="24"/>
        </w:rPr>
        <w:t xml:space="preserve"> status PP</w:t>
      </w:r>
      <w:r w:rsidR="00D654F8" w:rsidRPr="00C0186C">
        <w:rPr>
          <w:rFonts w:ascii="Times New Roman" w:hAnsi="Times New Roman" w:cs="Times New Roman"/>
          <w:sz w:val="24"/>
          <w:szCs w:val="24"/>
        </w:rPr>
        <w:t>-a</w:t>
      </w:r>
      <w:r w:rsidR="004859A7" w:rsidRPr="00C0186C">
        <w:rPr>
          <w:rFonts w:ascii="Times New Roman" w:hAnsi="Times New Roman" w:cs="Times New Roman"/>
          <w:sz w:val="24"/>
          <w:szCs w:val="24"/>
        </w:rPr>
        <w:t xml:space="preserve"> temeljem </w:t>
      </w:r>
      <w:r w:rsidRPr="00C0186C">
        <w:rPr>
          <w:rFonts w:ascii="Times New Roman" w:hAnsi="Times New Roman" w:cs="Times New Roman"/>
          <w:sz w:val="24"/>
          <w:szCs w:val="24"/>
        </w:rPr>
        <w:t>načina</w:t>
      </w:r>
      <w:r w:rsidR="004859A7" w:rsidRPr="00C0186C">
        <w:rPr>
          <w:rFonts w:ascii="Times New Roman" w:hAnsi="Times New Roman" w:cs="Times New Roman"/>
          <w:sz w:val="24"/>
          <w:szCs w:val="24"/>
        </w:rPr>
        <w:t xml:space="preserve"> izračuna indeksa razvijenosti u periodu od 2010. do 201</w:t>
      </w:r>
      <w:r w:rsidR="002432E3" w:rsidRPr="00C0186C">
        <w:rPr>
          <w:rFonts w:ascii="Times New Roman" w:hAnsi="Times New Roman" w:cs="Times New Roman"/>
          <w:sz w:val="24"/>
          <w:szCs w:val="24"/>
        </w:rPr>
        <w:t>9</w:t>
      </w:r>
      <w:r w:rsidR="004859A7" w:rsidRPr="00C0186C">
        <w:rPr>
          <w:rFonts w:ascii="Times New Roman" w:hAnsi="Times New Roman" w:cs="Times New Roman"/>
          <w:sz w:val="24"/>
          <w:szCs w:val="24"/>
        </w:rPr>
        <w:t>. godine.</w:t>
      </w:r>
      <w:r w:rsidR="002D70A4" w:rsidRPr="00C0186C">
        <w:rPr>
          <w:rFonts w:ascii="Times New Roman" w:hAnsi="Times New Roman" w:cs="Times New Roman"/>
          <w:sz w:val="24"/>
          <w:szCs w:val="24"/>
        </w:rPr>
        <w:t xml:space="preserve"> </w:t>
      </w:r>
      <w:r w:rsidR="001F41E7" w:rsidRPr="00C0186C">
        <w:rPr>
          <w:rFonts w:ascii="Times New Roman" w:hAnsi="Times New Roman" w:cs="Times New Roman"/>
          <w:sz w:val="24"/>
          <w:szCs w:val="24"/>
        </w:rPr>
        <w:t>Taj</w:t>
      </w:r>
      <w:r w:rsidR="002D70A4" w:rsidRPr="00C0186C">
        <w:rPr>
          <w:rFonts w:ascii="Times New Roman" w:hAnsi="Times New Roman" w:cs="Times New Roman"/>
          <w:sz w:val="24"/>
          <w:szCs w:val="24"/>
        </w:rPr>
        <w:t xml:space="preserve"> dio analize imao je za cilj utvrditi </w:t>
      </w:r>
      <w:r w:rsidR="00163A7F" w:rsidRPr="00C0186C">
        <w:rPr>
          <w:rFonts w:ascii="Times New Roman" w:hAnsi="Times New Roman" w:cs="Times New Roman"/>
          <w:sz w:val="24"/>
          <w:szCs w:val="24"/>
        </w:rPr>
        <w:t>je</w:t>
      </w:r>
      <w:r w:rsidR="002D70A4" w:rsidRPr="00C0186C">
        <w:rPr>
          <w:rFonts w:ascii="Times New Roman" w:hAnsi="Times New Roman" w:cs="Times New Roman"/>
          <w:sz w:val="24"/>
          <w:szCs w:val="24"/>
        </w:rPr>
        <w:t xml:space="preserve"> li u dugom vremenskom razdoblju došlo do </w:t>
      </w:r>
      <w:r w:rsidRPr="00C0186C">
        <w:rPr>
          <w:rFonts w:ascii="Times New Roman" w:hAnsi="Times New Roman" w:cs="Times New Roman"/>
          <w:sz w:val="24"/>
          <w:szCs w:val="24"/>
        </w:rPr>
        <w:t xml:space="preserve">pozitivnih ekonomskih i društvenih promjena, </w:t>
      </w:r>
      <w:r w:rsidR="002D70A4" w:rsidRPr="00C0186C">
        <w:rPr>
          <w:rFonts w:ascii="Times New Roman" w:hAnsi="Times New Roman" w:cs="Times New Roman"/>
          <w:sz w:val="24"/>
          <w:szCs w:val="24"/>
        </w:rPr>
        <w:t xml:space="preserve">te </w:t>
      </w:r>
      <w:r w:rsidR="00163A7F" w:rsidRPr="00C0186C">
        <w:rPr>
          <w:rFonts w:ascii="Times New Roman" w:hAnsi="Times New Roman" w:cs="Times New Roman"/>
          <w:sz w:val="24"/>
          <w:szCs w:val="24"/>
        </w:rPr>
        <w:t>jesu li</w:t>
      </w:r>
      <w:r w:rsidR="002D70A4" w:rsidRPr="00C0186C">
        <w:rPr>
          <w:rFonts w:ascii="Times New Roman" w:hAnsi="Times New Roman" w:cs="Times New Roman"/>
          <w:sz w:val="24"/>
          <w:szCs w:val="24"/>
        </w:rPr>
        <w:t xml:space="preserve"> se smanjile regionalne divergencije.</w:t>
      </w:r>
      <w:r w:rsidR="00D654F8" w:rsidRPr="00C0186C">
        <w:rPr>
          <w:rFonts w:ascii="Times New Roman" w:hAnsi="Times New Roman" w:cs="Times New Roman"/>
          <w:sz w:val="24"/>
          <w:szCs w:val="24"/>
        </w:rPr>
        <w:t xml:space="preserve"> </w:t>
      </w:r>
      <w:r w:rsidR="002D70A4" w:rsidRPr="00C0186C">
        <w:rPr>
          <w:rFonts w:ascii="Times New Roman" w:hAnsi="Times New Roman" w:cs="Times New Roman"/>
          <w:sz w:val="24"/>
          <w:szCs w:val="24"/>
        </w:rPr>
        <w:t xml:space="preserve">Naime jedan od osnovnih ciljeva regionalne politike upravo je smanjenje razvojnih nejednakosti, pa je </w:t>
      </w:r>
      <w:r w:rsidR="001F41E7" w:rsidRPr="00C0186C">
        <w:rPr>
          <w:rFonts w:ascii="Times New Roman" w:hAnsi="Times New Roman" w:cs="Times New Roman"/>
          <w:sz w:val="24"/>
          <w:szCs w:val="24"/>
        </w:rPr>
        <w:t>ta</w:t>
      </w:r>
      <w:r w:rsidR="002D70A4" w:rsidRPr="00C0186C">
        <w:rPr>
          <w:rFonts w:ascii="Times New Roman" w:hAnsi="Times New Roman" w:cs="Times New Roman"/>
          <w:sz w:val="24"/>
          <w:szCs w:val="24"/>
        </w:rPr>
        <w:t xml:space="preserve"> analiza ujedno omogućila ocjenu efikasnosti dosadašnjeg sustava potpora raz</w:t>
      </w:r>
      <w:r w:rsidR="004859A7" w:rsidRPr="00C0186C">
        <w:rPr>
          <w:rFonts w:ascii="Times New Roman" w:hAnsi="Times New Roman" w:cs="Times New Roman"/>
          <w:sz w:val="24"/>
          <w:szCs w:val="24"/>
        </w:rPr>
        <w:t xml:space="preserve">voju </w:t>
      </w:r>
      <w:r w:rsidR="00D654F8" w:rsidRPr="00C0186C">
        <w:rPr>
          <w:rFonts w:ascii="Times New Roman" w:hAnsi="Times New Roman" w:cs="Times New Roman"/>
          <w:sz w:val="24"/>
          <w:szCs w:val="24"/>
        </w:rPr>
        <w:t>potpomognutih područja</w:t>
      </w:r>
      <w:r w:rsidR="002D70A4" w:rsidRPr="00C0186C">
        <w:rPr>
          <w:rFonts w:ascii="Times New Roman" w:hAnsi="Times New Roman" w:cs="Times New Roman"/>
          <w:sz w:val="24"/>
          <w:szCs w:val="24"/>
        </w:rPr>
        <w:t>.</w:t>
      </w:r>
      <w:r w:rsidR="00611FFE" w:rsidRPr="00C0186C">
        <w:rPr>
          <w:rFonts w:ascii="Times New Roman" w:hAnsi="Times New Roman" w:cs="Times New Roman"/>
          <w:sz w:val="24"/>
          <w:szCs w:val="24"/>
        </w:rPr>
        <w:t xml:space="preserve"> </w:t>
      </w:r>
    </w:p>
    <w:p w14:paraId="4C3B9A30" w14:textId="77777777" w:rsidR="00E106A2" w:rsidRPr="00C0186C" w:rsidRDefault="00E106A2" w:rsidP="00B70EE8">
      <w:pPr>
        <w:pStyle w:val="NoSpacing"/>
        <w:spacing w:before="0" w:line="276" w:lineRule="auto"/>
        <w:jc w:val="both"/>
        <w:rPr>
          <w:rFonts w:ascii="Times New Roman" w:hAnsi="Times New Roman" w:cs="Times New Roman"/>
          <w:sz w:val="24"/>
          <w:szCs w:val="24"/>
        </w:rPr>
      </w:pPr>
    </w:p>
    <w:p w14:paraId="2596F782" w14:textId="77777777" w:rsidR="00E106A2" w:rsidRPr="00C0186C" w:rsidRDefault="00611FFE" w:rsidP="00B70EE8">
      <w:pPr>
        <w:pStyle w:val="NoSpacing"/>
        <w:spacing w:before="0" w:line="276" w:lineRule="auto"/>
        <w:jc w:val="both"/>
        <w:rPr>
          <w:rFonts w:ascii="Times New Roman" w:eastAsia="Calibri" w:hAnsi="Times New Roman" w:cs="Times New Roman"/>
          <w:sz w:val="24"/>
          <w:szCs w:val="24"/>
        </w:rPr>
      </w:pPr>
      <w:r w:rsidRPr="00C0186C">
        <w:rPr>
          <w:rFonts w:ascii="Times New Roman" w:hAnsi="Times New Roman" w:cs="Times New Roman"/>
          <w:sz w:val="24"/>
          <w:szCs w:val="24"/>
        </w:rPr>
        <w:t xml:space="preserve">Drugi dio socijalno-ekonomske analize imao je </w:t>
      </w:r>
      <w:r w:rsidR="00E106A2" w:rsidRPr="00C0186C">
        <w:rPr>
          <w:rFonts w:ascii="Times New Roman" w:hAnsi="Times New Roman" w:cs="Times New Roman"/>
          <w:sz w:val="24"/>
          <w:szCs w:val="24"/>
        </w:rPr>
        <w:t xml:space="preserve">za </w:t>
      </w:r>
      <w:r w:rsidRPr="00C0186C">
        <w:rPr>
          <w:rFonts w:ascii="Times New Roman" w:hAnsi="Times New Roman" w:cs="Times New Roman"/>
          <w:sz w:val="24"/>
          <w:szCs w:val="24"/>
        </w:rPr>
        <w:t xml:space="preserve">cilj ocijeniti stanje </w:t>
      </w:r>
      <w:r w:rsidR="007038CF" w:rsidRPr="00C0186C">
        <w:rPr>
          <w:rFonts w:ascii="Times New Roman" w:hAnsi="Times New Roman" w:cs="Times New Roman"/>
          <w:sz w:val="24"/>
          <w:szCs w:val="24"/>
        </w:rPr>
        <w:t>JLS</w:t>
      </w:r>
      <w:r w:rsidR="007D045E" w:rsidRPr="00C0186C">
        <w:rPr>
          <w:rFonts w:ascii="Times New Roman" w:hAnsi="Times New Roman" w:cs="Times New Roman"/>
          <w:sz w:val="24"/>
          <w:szCs w:val="24"/>
        </w:rPr>
        <w:t>-ova</w:t>
      </w:r>
      <w:r w:rsidRPr="00C0186C">
        <w:rPr>
          <w:rFonts w:ascii="Times New Roman" w:hAnsi="Times New Roman" w:cs="Times New Roman"/>
          <w:sz w:val="24"/>
          <w:szCs w:val="24"/>
        </w:rPr>
        <w:t xml:space="preserve"> </w:t>
      </w:r>
      <w:r w:rsidR="004859A7" w:rsidRPr="00C0186C">
        <w:rPr>
          <w:rFonts w:ascii="Times New Roman" w:hAnsi="Times New Roman" w:cs="Times New Roman"/>
          <w:sz w:val="24"/>
          <w:szCs w:val="24"/>
        </w:rPr>
        <w:t>koj</w:t>
      </w:r>
      <w:r w:rsidR="007D045E" w:rsidRPr="00C0186C">
        <w:rPr>
          <w:rFonts w:ascii="Times New Roman" w:hAnsi="Times New Roman" w:cs="Times New Roman"/>
          <w:sz w:val="24"/>
          <w:szCs w:val="24"/>
        </w:rPr>
        <w:t>i</w:t>
      </w:r>
      <w:r w:rsidR="004859A7" w:rsidRPr="00C0186C">
        <w:rPr>
          <w:rFonts w:ascii="Times New Roman" w:hAnsi="Times New Roman" w:cs="Times New Roman"/>
          <w:sz w:val="24"/>
          <w:szCs w:val="24"/>
        </w:rPr>
        <w:t xml:space="preserve"> prema novom načinu izračuna indeksa razvijenosti imaju status PP</w:t>
      </w:r>
      <w:r w:rsidR="00D654F8" w:rsidRPr="00C0186C">
        <w:rPr>
          <w:rFonts w:ascii="Times New Roman" w:hAnsi="Times New Roman" w:cs="Times New Roman"/>
          <w:sz w:val="24"/>
          <w:szCs w:val="24"/>
        </w:rPr>
        <w:t>-a</w:t>
      </w:r>
      <w:r w:rsidR="004859A7" w:rsidRPr="00C0186C">
        <w:rPr>
          <w:rFonts w:ascii="Times New Roman" w:hAnsi="Times New Roman" w:cs="Times New Roman"/>
          <w:sz w:val="24"/>
          <w:szCs w:val="24"/>
        </w:rPr>
        <w:t xml:space="preserve">. Novim načinom izračuna i rangiranja utvrđene su četiri ispodprosječne skupine </w:t>
      </w:r>
      <w:r w:rsidR="000B4751" w:rsidRPr="00C0186C">
        <w:rPr>
          <w:rFonts w:ascii="Times New Roman" w:hAnsi="Times New Roman" w:cs="Times New Roman"/>
          <w:sz w:val="24"/>
          <w:szCs w:val="24"/>
        </w:rPr>
        <w:t>JLS-a</w:t>
      </w:r>
      <w:r w:rsidR="00602E37" w:rsidRPr="00C0186C">
        <w:rPr>
          <w:rFonts w:ascii="Times New Roman" w:hAnsi="Times New Roman" w:cs="Times New Roman"/>
          <w:sz w:val="24"/>
          <w:szCs w:val="24"/>
        </w:rPr>
        <w:t>-</w:t>
      </w:r>
      <w:r w:rsidR="004859A7" w:rsidRPr="00C0186C">
        <w:rPr>
          <w:rFonts w:ascii="Times New Roman" w:hAnsi="Times New Roman" w:cs="Times New Roman"/>
          <w:sz w:val="24"/>
          <w:szCs w:val="24"/>
        </w:rPr>
        <w:t xml:space="preserve"> i dvije ispodprosječne skupine jedinica </w:t>
      </w:r>
      <w:r w:rsidR="00625456" w:rsidRPr="00C0186C">
        <w:rPr>
          <w:rFonts w:ascii="Times New Roman" w:hAnsi="Times New Roman" w:cs="Times New Roman"/>
          <w:sz w:val="24"/>
          <w:szCs w:val="24"/>
        </w:rPr>
        <w:t>područne (</w:t>
      </w:r>
      <w:r w:rsidR="004859A7" w:rsidRPr="00C0186C">
        <w:rPr>
          <w:rFonts w:ascii="Times New Roman" w:hAnsi="Times New Roman" w:cs="Times New Roman"/>
          <w:sz w:val="24"/>
          <w:szCs w:val="24"/>
        </w:rPr>
        <w:t>regionalne</w:t>
      </w:r>
      <w:r w:rsidR="00625456" w:rsidRPr="00C0186C">
        <w:rPr>
          <w:rFonts w:ascii="Times New Roman" w:hAnsi="Times New Roman" w:cs="Times New Roman"/>
          <w:sz w:val="24"/>
          <w:szCs w:val="24"/>
        </w:rPr>
        <w:t>)</w:t>
      </w:r>
      <w:r w:rsidR="004859A7" w:rsidRPr="00C0186C">
        <w:rPr>
          <w:rFonts w:ascii="Times New Roman" w:hAnsi="Times New Roman" w:cs="Times New Roman"/>
          <w:sz w:val="24"/>
          <w:szCs w:val="24"/>
        </w:rPr>
        <w:t xml:space="preserve"> samouprave.</w:t>
      </w:r>
      <w:r w:rsidR="00E106A2" w:rsidRPr="00C0186C">
        <w:rPr>
          <w:rFonts w:ascii="Times New Roman" w:hAnsi="Times New Roman" w:cs="Times New Roman"/>
          <w:sz w:val="24"/>
          <w:szCs w:val="24"/>
        </w:rPr>
        <w:t xml:space="preserve"> </w:t>
      </w:r>
      <w:r w:rsidRPr="00C0186C">
        <w:rPr>
          <w:rFonts w:ascii="Times New Roman" w:hAnsi="Times New Roman" w:cs="Times New Roman"/>
          <w:sz w:val="24"/>
          <w:szCs w:val="24"/>
        </w:rPr>
        <w:t>Za razliku od prvog dijela</w:t>
      </w:r>
      <w:r w:rsidR="00E106A2" w:rsidRPr="00C0186C">
        <w:rPr>
          <w:rFonts w:ascii="Times New Roman" w:hAnsi="Times New Roman" w:cs="Times New Roman"/>
          <w:sz w:val="24"/>
          <w:szCs w:val="24"/>
        </w:rPr>
        <w:t xml:space="preserve"> analize</w:t>
      </w:r>
      <w:r w:rsidRPr="00C0186C">
        <w:rPr>
          <w:rFonts w:ascii="Times New Roman" w:hAnsi="Times New Roman" w:cs="Times New Roman"/>
          <w:sz w:val="24"/>
          <w:szCs w:val="24"/>
        </w:rPr>
        <w:t xml:space="preserve"> koji se temeljio na pokazateljima indeksa razvijenosti, ovaj dio analize obuhvatio je znatno veći broj pokazatelja u trogodišnjem razdoblju. </w:t>
      </w:r>
      <w:r w:rsidR="00E106A2" w:rsidRPr="00C0186C">
        <w:rPr>
          <w:rFonts w:ascii="Times New Roman" w:hAnsi="Times New Roman" w:cs="Times New Roman"/>
          <w:sz w:val="24"/>
          <w:szCs w:val="24"/>
        </w:rPr>
        <w:t>Svrha takvog analitičkog pristupa bila je identificirati ograničavajuć</w:t>
      </w:r>
      <w:r w:rsidR="00352EEC" w:rsidRPr="00C0186C">
        <w:rPr>
          <w:rFonts w:ascii="Times New Roman" w:hAnsi="Times New Roman" w:cs="Times New Roman"/>
          <w:sz w:val="24"/>
          <w:szCs w:val="24"/>
        </w:rPr>
        <w:t>e</w:t>
      </w:r>
      <w:r w:rsidR="00E106A2" w:rsidRPr="00C0186C">
        <w:rPr>
          <w:rFonts w:ascii="Times New Roman" w:hAnsi="Times New Roman" w:cs="Times New Roman"/>
          <w:sz w:val="24"/>
          <w:szCs w:val="24"/>
        </w:rPr>
        <w:t xml:space="preserve"> razvojn</w:t>
      </w:r>
      <w:r w:rsidR="00352EEC" w:rsidRPr="00C0186C">
        <w:rPr>
          <w:rFonts w:ascii="Times New Roman" w:hAnsi="Times New Roman" w:cs="Times New Roman"/>
          <w:sz w:val="24"/>
          <w:szCs w:val="24"/>
        </w:rPr>
        <w:t xml:space="preserve">e činitelje na </w:t>
      </w:r>
      <w:r w:rsidR="00E106A2" w:rsidRPr="00C0186C">
        <w:rPr>
          <w:rFonts w:ascii="Times New Roman" w:hAnsi="Times New Roman" w:cs="Times New Roman"/>
          <w:sz w:val="24"/>
          <w:szCs w:val="24"/>
        </w:rPr>
        <w:t>područj</w:t>
      </w:r>
      <w:r w:rsidR="00352EEC" w:rsidRPr="00C0186C">
        <w:rPr>
          <w:rFonts w:ascii="Times New Roman" w:hAnsi="Times New Roman" w:cs="Times New Roman"/>
          <w:sz w:val="24"/>
          <w:szCs w:val="24"/>
        </w:rPr>
        <w:t>u</w:t>
      </w:r>
      <w:r w:rsidR="00E106A2" w:rsidRPr="00C0186C">
        <w:rPr>
          <w:rFonts w:ascii="Times New Roman" w:hAnsi="Times New Roman" w:cs="Times New Roman"/>
          <w:sz w:val="24"/>
          <w:szCs w:val="24"/>
        </w:rPr>
        <w:t xml:space="preserve"> </w:t>
      </w:r>
      <w:r w:rsidR="007038CF" w:rsidRPr="00C0186C">
        <w:rPr>
          <w:rFonts w:ascii="Times New Roman" w:hAnsi="Times New Roman" w:cs="Times New Roman"/>
          <w:sz w:val="24"/>
          <w:szCs w:val="24"/>
        </w:rPr>
        <w:t>JLS</w:t>
      </w:r>
      <w:r w:rsidR="000B4751" w:rsidRPr="00C0186C">
        <w:rPr>
          <w:rFonts w:ascii="Times New Roman" w:hAnsi="Times New Roman" w:cs="Times New Roman"/>
          <w:sz w:val="24"/>
          <w:szCs w:val="24"/>
        </w:rPr>
        <w:t>-a</w:t>
      </w:r>
      <w:r w:rsidR="00E106A2" w:rsidRPr="00C0186C">
        <w:rPr>
          <w:rFonts w:ascii="Times New Roman" w:hAnsi="Times New Roman" w:cs="Times New Roman"/>
          <w:sz w:val="24"/>
          <w:szCs w:val="24"/>
        </w:rPr>
        <w:t xml:space="preserve"> sa statusom PP</w:t>
      </w:r>
      <w:r w:rsidR="00D654F8" w:rsidRPr="00C0186C">
        <w:rPr>
          <w:rFonts w:ascii="Times New Roman" w:hAnsi="Times New Roman" w:cs="Times New Roman"/>
          <w:sz w:val="24"/>
          <w:szCs w:val="24"/>
        </w:rPr>
        <w:t>-a</w:t>
      </w:r>
      <w:r w:rsidR="00E106A2" w:rsidRPr="00C0186C">
        <w:rPr>
          <w:rFonts w:ascii="Times New Roman" w:hAnsi="Times New Roman" w:cs="Times New Roman"/>
          <w:sz w:val="24"/>
          <w:szCs w:val="24"/>
        </w:rPr>
        <w:t>, uvažavajući odredbe Zakona o</w:t>
      </w:r>
      <w:r w:rsidR="00352EEC" w:rsidRPr="00C0186C">
        <w:rPr>
          <w:rFonts w:ascii="Times New Roman" w:hAnsi="Times New Roman" w:cs="Times New Roman"/>
          <w:sz w:val="24"/>
          <w:szCs w:val="24"/>
        </w:rPr>
        <w:t xml:space="preserve"> PP</w:t>
      </w:r>
      <w:r w:rsidR="00E106A2" w:rsidRPr="00C0186C">
        <w:rPr>
          <w:rFonts w:ascii="Times New Roman" w:hAnsi="Times New Roman" w:cs="Times New Roman"/>
          <w:sz w:val="24"/>
          <w:szCs w:val="24"/>
        </w:rPr>
        <w:t xml:space="preserve">, konkretno definiranih grupa mjera čije je provođenje predviđeno za </w:t>
      </w:r>
      <w:r w:rsidR="00352EEC" w:rsidRPr="00C0186C">
        <w:rPr>
          <w:rFonts w:ascii="Times New Roman" w:hAnsi="Times New Roman" w:cs="Times New Roman"/>
          <w:sz w:val="24"/>
          <w:szCs w:val="24"/>
        </w:rPr>
        <w:t xml:space="preserve">njihov </w:t>
      </w:r>
      <w:r w:rsidR="00E106A2" w:rsidRPr="00C0186C">
        <w:rPr>
          <w:rFonts w:ascii="Times New Roman" w:hAnsi="Times New Roman" w:cs="Times New Roman"/>
          <w:sz w:val="24"/>
          <w:szCs w:val="24"/>
        </w:rPr>
        <w:t xml:space="preserve">razvoj u budućem razdoblju. Zbog toga je </w:t>
      </w:r>
      <w:r w:rsidR="00E106A2" w:rsidRPr="00C0186C">
        <w:rPr>
          <w:rFonts w:ascii="Times New Roman" w:eastAsia="Calibri" w:hAnsi="Times New Roman" w:cs="Times New Roman"/>
          <w:sz w:val="24"/>
          <w:szCs w:val="24"/>
        </w:rPr>
        <w:t xml:space="preserve">fokus ovog dijela analitičke Studije stavljen na analizu demografskog, ekonomskog, socijalnog i fiskalnog položaja PP-a u odnosu na Republiku Hrvatsku. Kako bi se dobio realan uvid u recentno stanje razvojnih nejednakosti unutar i između </w:t>
      </w:r>
      <w:r w:rsidR="00352EEC" w:rsidRPr="00C0186C">
        <w:rPr>
          <w:rFonts w:ascii="Times New Roman" w:eastAsia="Calibri" w:hAnsi="Times New Roman" w:cs="Times New Roman"/>
          <w:sz w:val="24"/>
          <w:szCs w:val="24"/>
        </w:rPr>
        <w:t>skupina</w:t>
      </w:r>
      <w:r w:rsidR="00E106A2" w:rsidRPr="00C0186C">
        <w:rPr>
          <w:rFonts w:ascii="Times New Roman" w:eastAsia="Calibri" w:hAnsi="Times New Roman" w:cs="Times New Roman"/>
          <w:sz w:val="24"/>
          <w:szCs w:val="24"/>
        </w:rPr>
        <w:t xml:space="preserve"> PP , za sve odabrane pokazatelje izračunati su prosjeci za razdoblje od 2015. do 201</w:t>
      </w:r>
      <w:r w:rsidR="002432E3" w:rsidRPr="00C0186C">
        <w:rPr>
          <w:rFonts w:ascii="Times New Roman" w:eastAsia="Calibri" w:hAnsi="Times New Roman" w:cs="Times New Roman"/>
          <w:sz w:val="24"/>
          <w:szCs w:val="24"/>
        </w:rPr>
        <w:t>9</w:t>
      </w:r>
      <w:r w:rsidR="00E106A2" w:rsidRPr="00C0186C">
        <w:rPr>
          <w:rFonts w:ascii="Times New Roman" w:eastAsia="Calibri" w:hAnsi="Times New Roman" w:cs="Times New Roman"/>
          <w:sz w:val="24"/>
          <w:szCs w:val="24"/>
        </w:rPr>
        <w:t>. godine.</w:t>
      </w:r>
    </w:p>
    <w:p w14:paraId="2BA2086D" w14:textId="77777777" w:rsidR="004A3C6F" w:rsidRPr="00C0186C" w:rsidRDefault="004A3C6F"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Za ocjenu </w:t>
      </w:r>
      <w:r w:rsidR="005A397E" w:rsidRPr="00C0186C">
        <w:rPr>
          <w:rFonts w:ascii="Times New Roman" w:hAnsi="Times New Roman" w:cs="Times New Roman"/>
          <w:sz w:val="24"/>
          <w:szCs w:val="24"/>
        </w:rPr>
        <w:t>učinaka</w:t>
      </w:r>
      <w:r w:rsidRPr="00C0186C">
        <w:rPr>
          <w:rFonts w:ascii="Times New Roman" w:hAnsi="Times New Roman" w:cs="Times New Roman"/>
          <w:sz w:val="24"/>
          <w:szCs w:val="24"/>
        </w:rPr>
        <w:t xml:space="preserve"> dosadašnjih mjera korišteni su rezultati dugoročnih kretanja na PP</w:t>
      </w:r>
      <w:r w:rsidR="003F5767" w:rsidRPr="00C0186C">
        <w:rPr>
          <w:rFonts w:ascii="Times New Roman" w:hAnsi="Times New Roman" w:cs="Times New Roman"/>
          <w:sz w:val="24"/>
          <w:szCs w:val="24"/>
        </w:rPr>
        <w:t>-u</w:t>
      </w:r>
      <w:r w:rsidRPr="00C0186C">
        <w:rPr>
          <w:rFonts w:ascii="Times New Roman" w:hAnsi="Times New Roman" w:cs="Times New Roman"/>
          <w:sz w:val="24"/>
          <w:szCs w:val="24"/>
        </w:rPr>
        <w:t xml:space="preserve">. Naime </w:t>
      </w:r>
      <w:r w:rsidR="007038CF" w:rsidRPr="00C0186C">
        <w:rPr>
          <w:rFonts w:ascii="Times New Roman" w:hAnsi="Times New Roman" w:cs="Times New Roman"/>
          <w:sz w:val="24"/>
          <w:szCs w:val="24"/>
        </w:rPr>
        <w:t>JLS</w:t>
      </w:r>
      <w:r w:rsidR="000B4751" w:rsidRPr="00C0186C">
        <w:rPr>
          <w:rFonts w:ascii="Times New Roman" w:hAnsi="Times New Roman" w:cs="Times New Roman"/>
          <w:sz w:val="24"/>
          <w:szCs w:val="24"/>
        </w:rPr>
        <w:t>-ovi</w:t>
      </w:r>
      <w:r w:rsidRPr="00C0186C">
        <w:rPr>
          <w:rFonts w:ascii="Times New Roman" w:hAnsi="Times New Roman" w:cs="Times New Roman"/>
          <w:sz w:val="24"/>
          <w:szCs w:val="24"/>
        </w:rPr>
        <w:t xml:space="preserve"> koj</w:t>
      </w:r>
      <w:r w:rsidR="000B4751" w:rsidRPr="00C0186C">
        <w:rPr>
          <w:rFonts w:ascii="Times New Roman" w:hAnsi="Times New Roman" w:cs="Times New Roman"/>
          <w:sz w:val="24"/>
          <w:szCs w:val="24"/>
        </w:rPr>
        <w:t>i</w:t>
      </w:r>
      <w:r w:rsidRPr="00C0186C">
        <w:rPr>
          <w:rFonts w:ascii="Times New Roman" w:hAnsi="Times New Roman" w:cs="Times New Roman"/>
          <w:sz w:val="24"/>
          <w:szCs w:val="24"/>
        </w:rPr>
        <w:t xml:space="preserve"> su u prošlom razdoblju imal</w:t>
      </w:r>
      <w:r w:rsidR="000B4751" w:rsidRPr="00C0186C">
        <w:rPr>
          <w:rFonts w:ascii="Times New Roman" w:hAnsi="Times New Roman" w:cs="Times New Roman"/>
          <w:sz w:val="24"/>
          <w:szCs w:val="24"/>
        </w:rPr>
        <w:t>i</w:t>
      </w:r>
      <w:r w:rsidRPr="00C0186C">
        <w:rPr>
          <w:rFonts w:ascii="Times New Roman" w:hAnsi="Times New Roman" w:cs="Times New Roman"/>
          <w:sz w:val="24"/>
          <w:szCs w:val="24"/>
        </w:rPr>
        <w:t xml:space="preserve"> status područja s razvojnim posebnostima, te nakon uvođenja indeksa razvijenosti ispodprosječno razvijenih područja, bil</w:t>
      </w:r>
      <w:r w:rsidR="000B4751" w:rsidRPr="00C0186C">
        <w:rPr>
          <w:rFonts w:ascii="Times New Roman" w:hAnsi="Times New Roman" w:cs="Times New Roman"/>
          <w:sz w:val="24"/>
          <w:szCs w:val="24"/>
        </w:rPr>
        <w:t>i</w:t>
      </w:r>
      <w:r w:rsidRPr="00C0186C">
        <w:rPr>
          <w:rFonts w:ascii="Times New Roman" w:hAnsi="Times New Roman" w:cs="Times New Roman"/>
          <w:sz w:val="24"/>
          <w:szCs w:val="24"/>
        </w:rPr>
        <w:t xml:space="preserve"> su korisnici različitih olakšica i </w:t>
      </w:r>
      <w:r w:rsidR="003C02FC" w:rsidRPr="00C0186C">
        <w:rPr>
          <w:rFonts w:ascii="Times New Roman" w:hAnsi="Times New Roman" w:cs="Times New Roman"/>
          <w:sz w:val="24"/>
          <w:szCs w:val="24"/>
        </w:rPr>
        <w:t xml:space="preserve">poticaja </w:t>
      </w:r>
      <w:r w:rsidRPr="00C0186C">
        <w:rPr>
          <w:rFonts w:ascii="Times New Roman" w:hAnsi="Times New Roman" w:cs="Times New Roman"/>
          <w:sz w:val="24"/>
          <w:szCs w:val="24"/>
        </w:rPr>
        <w:t>usmjerenih na demografsku obnovu, gospodarski rast i razvoj, te povećanje životnog standarda stanovništva. Z</w:t>
      </w:r>
      <w:r w:rsidR="005A397E" w:rsidRPr="00C0186C">
        <w:rPr>
          <w:rFonts w:ascii="Times New Roman" w:hAnsi="Times New Roman" w:cs="Times New Roman"/>
          <w:sz w:val="24"/>
          <w:szCs w:val="24"/>
        </w:rPr>
        <w:t>bog toga je u okviru spomenute a</w:t>
      </w:r>
      <w:r w:rsidRPr="00C0186C">
        <w:rPr>
          <w:rFonts w:ascii="Times New Roman" w:hAnsi="Times New Roman" w:cs="Times New Roman"/>
          <w:sz w:val="24"/>
          <w:szCs w:val="24"/>
        </w:rPr>
        <w:t>nalitičke podloge napravljena evaluacija tih mjer</w:t>
      </w:r>
      <w:r w:rsidR="000B4751" w:rsidRPr="00C0186C">
        <w:rPr>
          <w:rFonts w:ascii="Times New Roman" w:hAnsi="Times New Roman" w:cs="Times New Roman"/>
          <w:sz w:val="24"/>
          <w:szCs w:val="24"/>
        </w:rPr>
        <w:t>a</w:t>
      </w:r>
      <w:r w:rsidRPr="00C0186C">
        <w:rPr>
          <w:rFonts w:ascii="Times New Roman" w:hAnsi="Times New Roman" w:cs="Times New Roman"/>
          <w:sz w:val="24"/>
          <w:szCs w:val="24"/>
        </w:rPr>
        <w:t xml:space="preserve"> s aspekta njihova ishoda, a temeljem izvršene analize relevantnih pokazatelja.</w:t>
      </w:r>
    </w:p>
    <w:p w14:paraId="0229FB0B" w14:textId="77777777" w:rsidR="00E106A2" w:rsidRPr="00C0186C" w:rsidRDefault="00E106A2" w:rsidP="00B70EE8">
      <w:pPr>
        <w:pStyle w:val="NoSpacing"/>
        <w:spacing w:before="0" w:line="276" w:lineRule="auto"/>
        <w:jc w:val="both"/>
        <w:rPr>
          <w:rFonts w:ascii="Times New Roman" w:hAnsi="Times New Roman" w:cs="Times New Roman"/>
          <w:sz w:val="24"/>
          <w:szCs w:val="24"/>
        </w:rPr>
      </w:pPr>
    </w:p>
    <w:p w14:paraId="1F908660" w14:textId="77777777" w:rsidR="00C42E6C" w:rsidRPr="00C0186C" w:rsidRDefault="00352EEC"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U</w:t>
      </w:r>
      <w:r w:rsidR="004E2390" w:rsidRPr="00C0186C">
        <w:rPr>
          <w:rFonts w:ascii="Times New Roman" w:hAnsi="Times New Roman" w:cs="Times New Roman"/>
          <w:sz w:val="24"/>
          <w:szCs w:val="24"/>
        </w:rPr>
        <w:t xml:space="preserve"> nastav</w:t>
      </w:r>
      <w:r w:rsidR="000B4751" w:rsidRPr="00C0186C">
        <w:rPr>
          <w:rFonts w:ascii="Times New Roman" w:hAnsi="Times New Roman" w:cs="Times New Roman"/>
          <w:sz w:val="24"/>
          <w:szCs w:val="24"/>
        </w:rPr>
        <w:t>k</w:t>
      </w:r>
      <w:r w:rsidR="004E2390" w:rsidRPr="00C0186C">
        <w:rPr>
          <w:rFonts w:ascii="Times New Roman" w:hAnsi="Times New Roman" w:cs="Times New Roman"/>
          <w:sz w:val="24"/>
          <w:szCs w:val="24"/>
        </w:rPr>
        <w:t xml:space="preserve">u </w:t>
      </w:r>
      <w:r w:rsidR="004A3C6F" w:rsidRPr="00C0186C">
        <w:rPr>
          <w:rFonts w:ascii="Times New Roman" w:hAnsi="Times New Roman" w:cs="Times New Roman"/>
          <w:sz w:val="24"/>
          <w:szCs w:val="24"/>
        </w:rPr>
        <w:t xml:space="preserve">se </w:t>
      </w:r>
      <w:r w:rsidR="004E2390" w:rsidRPr="00C0186C">
        <w:rPr>
          <w:rFonts w:ascii="Times New Roman" w:hAnsi="Times New Roman" w:cs="Times New Roman"/>
          <w:sz w:val="24"/>
          <w:szCs w:val="24"/>
        </w:rPr>
        <w:t xml:space="preserve">iznose najznačajniji </w:t>
      </w:r>
      <w:r w:rsidR="00C42E6C" w:rsidRPr="00C0186C">
        <w:rPr>
          <w:rFonts w:ascii="Times New Roman" w:hAnsi="Times New Roman" w:cs="Times New Roman"/>
          <w:sz w:val="24"/>
          <w:szCs w:val="24"/>
        </w:rPr>
        <w:t xml:space="preserve">nalazi provedene analize, kao i ocjena </w:t>
      </w:r>
      <w:r w:rsidR="005A397E" w:rsidRPr="00C0186C">
        <w:rPr>
          <w:rFonts w:ascii="Times New Roman" w:hAnsi="Times New Roman" w:cs="Times New Roman"/>
          <w:sz w:val="24"/>
          <w:szCs w:val="24"/>
        </w:rPr>
        <w:t xml:space="preserve">učinaka </w:t>
      </w:r>
      <w:r w:rsidR="00C42E6C" w:rsidRPr="00C0186C">
        <w:rPr>
          <w:rFonts w:ascii="Times New Roman" w:hAnsi="Times New Roman" w:cs="Times New Roman"/>
          <w:sz w:val="24"/>
          <w:szCs w:val="24"/>
        </w:rPr>
        <w:t>dosad</w:t>
      </w:r>
      <w:r w:rsidR="004E2390" w:rsidRPr="00C0186C">
        <w:rPr>
          <w:rFonts w:ascii="Times New Roman" w:hAnsi="Times New Roman" w:cs="Times New Roman"/>
          <w:sz w:val="24"/>
          <w:szCs w:val="24"/>
        </w:rPr>
        <w:t xml:space="preserve">ašnjih mjera poticanja razvoja </w:t>
      </w:r>
      <w:r w:rsidR="00D654F8" w:rsidRPr="00C0186C">
        <w:rPr>
          <w:rFonts w:ascii="Times New Roman" w:hAnsi="Times New Roman" w:cs="Times New Roman"/>
          <w:sz w:val="24"/>
          <w:szCs w:val="24"/>
        </w:rPr>
        <w:t>potpomognutih područja</w:t>
      </w:r>
      <w:r w:rsidR="00C42E6C" w:rsidRPr="00C0186C">
        <w:rPr>
          <w:rFonts w:ascii="Times New Roman" w:hAnsi="Times New Roman" w:cs="Times New Roman"/>
          <w:sz w:val="24"/>
          <w:szCs w:val="24"/>
        </w:rPr>
        <w:t xml:space="preserve">. </w:t>
      </w:r>
    </w:p>
    <w:p w14:paraId="067FDF42" w14:textId="77777777" w:rsidR="002C1F01" w:rsidRPr="00C0186C" w:rsidRDefault="002C1F01" w:rsidP="00B70EE8">
      <w:pPr>
        <w:pStyle w:val="NoSpacing"/>
        <w:spacing w:before="0" w:line="276" w:lineRule="auto"/>
        <w:rPr>
          <w:rFonts w:ascii="Times New Roman" w:hAnsi="Times New Roman" w:cs="Times New Roman"/>
          <w:sz w:val="24"/>
          <w:szCs w:val="24"/>
        </w:rPr>
      </w:pPr>
    </w:p>
    <w:p w14:paraId="72A48AF0" w14:textId="77777777" w:rsidR="002F6A60" w:rsidRPr="00C0186C" w:rsidRDefault="00AD6F77" w:rsidP="00B70EE8">
      <w:pPr>
        <w:pStyle w:val="Heading2"/>
        <w:spacing w:before="0"/>
        <w:rPr>
          <w:rFonts w:ascii="Times New Roman" w:hAnsi="Times New Roman" w:cs="Times New Roman"/>
          <w:sz w:val="24"/>
          <w:szCs w:val="24"/>
        </w:rPr>
      </w:pPr>
      <w:bookmarkStart w:id="10" w:name="_Toc95891856"/>
      <w:r w:rsidRPr="00C0186C">
        <w:rPr>
          <w:rFonts w:ascii="Times New Roman" w:hAnsi="Times New Roman" w:cs="Times New Roman"/>
          <w:b/>
          <w:bCs/>
          <w:sz w:val="24"/>
          <w:szCs w:val="24"/>
        </w:rPr>
        <w:t>3.1.</w:t>
      </w:r>
      <w:r w:rsidRPr="00C0186C">
        <w:rPr>
          <w:rFonts w:ascii="Times New Roman" w:hAnsi="Times New Roman" w:cs="Times New Roman"/>
          <w:sz w:val="24"/>
          <w:szCs w:val="24"/>
        </w:rPr>
        <w:t xml:space="preserve"> </w:t>
      </w:r>
      <w:r w:rsidRPr="00C0186C">
        <w:rPr>
          <w:rFonts w:ascii="Times New Roman" w:hAnsi="Times New Roman" w:cs="Times New Roman"/>
          <w:b/>
          <w:bCs/>
          <w:sz w:val="24"/>
          <w:szCs w:val="24"/>
        </w:rPr>
        <w:t xml:space="preserve">DUGOROČNA SOCIJALNO-EKONOMSKA OBILJEŽJA </w:t>
      </w:r>
      <w:r w:rsidR="00382E82" w:rsidRPr="00C0186C">
        <w:rPr>
          <w:rFonts w:ascii="Times New Roman" w:hAnsi="Times New Roman" w:cs="Times New Roman"/>
          <w:b/>
          <w:bCs/>
          <w:sz w:val="24"/>
          <w:szCs w:val="24"/>
        </w:rPr>
        <w:t>POTPOMOGNUTIH</w:t>
      </w:r>
      <w:r w:rsidRPr="00C0186C">
        <w:rPr>
          <w:rFonts w:ascii="Times New Roman" w:hAnsi="Times New Roman" w:cs="Times New Roman"/>
          <w:b/>
          <w:bCs/>
          <w:sz w:val="24"/>
          <w:szCs w:val="24"/>
        </w:rPr>
        <w:t xml:space="preserve"> PODRUČJA</w:t>
      </w:r>
      <w:bookmarkEnd w:id="10"/>
    </w:p>
    <w:p w14:paraId="2D732096" w14:textId="77777777" w:rsidR="002F6A60" w:rsidRPr="00C0186C" w:rsidRDefault="002F6A60" w:rsidP="00B70EE8">
      <w:pPr>
        <w:pStyle w:val="NoSpacing"/>
        <w:spacing w:before="0" w:line="276" w:lineRule="auto"/>
        <w:rPr>
          <w:rFonts w:ascii="Times New Roman" w:hAnsi="Times New Roman" w:cs="Times New Roman"/>
          <w:sz w:val="24"/>
          <w:szCs w:val="24"/>
        </w:rPr>
      </w:pPr>
    </w:p>
    <w:p w14:paraId="34B5D6A9" w14:textId="77777777" w:rsidR="00CC5008" w:rsidRPr="00C0186C" w:rsidRDefault="00800BCB" w:rsidP="00B70EE8">
      <w:p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Provedena analiza dugoročnih demografskih, ekon</w:t>
      </w:r>
      <w:r w:rsidR="00CC5008" w:rsidRPr="00C0186C">
        <w:rPr>
          <w:rFonts w:ascii="Times New Roman" w:eastAsia="Calibri" w:hAnsi="Times New Roman" w:cs="Times New Roman"/>
          <w:sz w:val="24"/>
          <w:szCs w:val="24"/>
          <w:lang w:eastAsia="hr-HR"/>
        </w:rPr>
        <w:t xml:space="preserve">omskih i fiskalnih kretanja na </w:t>
      </w:r>
      <w:r w:rsidRPr="00C0186C">
        <w:rPr>
          <w:rFonts w:ascii="Times New Roman" w:eastAsia="Calibri" w:hAnsi="Times New Roman" w:cs="Times New Roman"/>
          <w:sz w:val="24"/>
          <w:szCs w:val="24"/>
          <w:lang w:eastAsia="hr-HR"/>
        </w:rPr>
        <w:t>PP Republike Hrvatske</w:t>
      </w:r>
      <w:r w:rsidR="00B17C6A" w:rsidRPr="00C0186C">
        <w:rPr>
          <w:rFonts w:ascii="Times New Roman" w:eastAsia="Calibri" w:hAnsi="Times New Roman" w:cs="Times New Roman"/>
          <w:sz w:val="24"/>
          <w:szCs w:val="24"/>
          <w:lang w:eastAsia="hr-HR"/>
        </w:rPr>
        <w:t>, temeljem podataka</w:t>
      </w:r>
      <w:r w:rsidRPr="00C0186C">
        <w:rPr>
          <w:rFonts w:ascii="Times New Roman" w:eastAsia="Calibri" w:hAnsi="Times New Roman" w:cs="Times New Roman"/>
          <w:sz w:val="24"/>
          <w:szCs w:val="24"/>
          <w:lang w:eastAsia="hr-HR"/>
        </w:rPr>
        <w:t xml:space="preserve"> za razdoblje od 2001. do 201</w:t>
      </w:r>
      <w:r w:rsidR="002432E3" w:rsidRPr="00C0186C">
        <w:rPr>
          <w:rFonts w:ascii="Times New Roman" w:eastAsia="Calibri" w:hAnsi="Times New Roman" w:cs="Times New Roman"/>
          <w:sz w:val="24"/>
          <w:szCs w:val="24"/>
          <w:lang w:eastAsia="hr-HR"/>
        </w:rPr>
        <w:t>9</w:t>
      </w:r>
      <w:r w:rsidRPr="00C0186C">
        <w:rPr>
          <w:rFonts w:ascii="Times New Roman" w:eastAsia="Calibri" w:hAnsi="Times New Roman" w:cs="Times New Roman"/>
          <w:sz w:val="24"/>
          <w:szCs w:val="24"/>
          <w:lang w:eastAsia="hr-HR"/>
        </w:rPr>
        <w:t>. godine, ukazala je na sljedeće:</w:t>
      </w:r>
    </w:p>
    <w:p w14:paraId="3EF8E5C4" w14:textId="5723DE9A" w:rsidR="00CC5008" w:rsidRPr="00C0186C" w:rsidRDefault="00CC5008"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 xml:space="preserve">Kretanje stanovništva, kako s aspekta njegove brojnosti, tako i strukturnih obilježja izrazito je negativno: dinamika smanjenja broja stanovnika na prostoru potpomognutih područja u odnosu </w:t>
      </w:r>
      <w:r w:rsidR="00067DB0" w:rsidRPr="00C0186C">
        <w:rPr>
          <w:rFonts w:ascii="Times New Roman" w:eastAsia="Calibri" w:hAnsi="Times New Roman" w:cs="Times New Roman"/>
          <w:sz w:val="24"/>
          <w:szCs w:val="24"/>
          <w:lang w:eastAsia="hr-HR"/>
        </w:rPr>
        <w:t>na nacionalnu razinu</w:t>
      </w:r>
      <w:r w:rsidRPr="00C0186C">
        <w:rPr>
          <w:rFonts w:ascii="Times New Roman" w:eastAsia="Calibri" w:hAnsi="Times New Roman" w:cs="Times New Roman"/>
          <w:sz w:val="24"/>
          <w:szCs w:val="24"/>
          <w:lang w:eastAsia="hr-HR"/>
        </w:rPr>
        <w:t xml:space="preserve"> je brža, neovisno promatra</w:t>
      </w:r>
      <w:r w:rsidR="000B4751" w:rsidRPr="00C0186C">
        <w:rPr>
          <w:rFonts w:ascii="Times New Roman" w:eastAsia="Calibri" w:hAnsi="Times New Roman" w:cs="Times New Roman"/>
          <w:sz w:val="24"/>
          <w:szCs w:val="24"/>
          <w:lang w:eastAsia="hr-HR"/>
        </w:rPr>
        <w:t xml:space="preserve"> li se</w:t>
      </w:r>
      <w:r w:rsidRPr="00C0186C">
        <w:rPr>
          <w:rFonts w:ascii="Times New Roman" w:eastAsia="Calibri" w:hAnsi="Times New Roman" w:cs="Times New Roman"/>
          <w:sz w:val="24"/>
          <w:szCs w:val="24"/>
          <w:lang w:eastAsia="hr-HR"/>
        </w:rPr>
        <w:t xml:space="preserve"> između dva popisna razdoblja (2001. – 2011.) ili </w:t>
      </w:r>
      <w:r w:rsidR="00067DB0" w:rsidRPr="00C0186C">
        <w:rPr>
          <w:rFonts w:ascii="Times New Roman" w:eastAsia="Calibri" w:hAnsi="Times New Roman" w:cs="Times New Roman"/>
          <w:sz w:val="24"/>
          <w:szCs w:val="24"/>
          <w:lang w:eastAsia="hr-HR"/>
        </w:rPr>
        <w:t xml:space="preserve">od 2011. </w:t>
      </w:r>
      <w:r w:rsidRPr="00C0186C">
        <w:rPr>
          <w:rFonts w:ascii="Times New Roman" w:eastAsia="Calibri" w:hAnsi="Times New Roman" w:cs="Times New Roman"/>
          <w:sz w:val="24"/>
          <w:szCs w:val="24"/>
          <w:lang w:eastAsia="hr-HR"/>
        </w:rPr>
        <w:t>do 201</w:t>
      </w:r>
      <w:r w:rsidR="002432E3" w:rsidRPr="00C0186C">
        <w:rPr>
          <w:rFonts w:ascii="Times New Roman" w:eastAsia="Calibri" w:hAnsi="Times New Roman" w:cs="Times New Roman"/>
          <w:sz w:val="24"/>
          <w:szCs w:val="24"/>
          <w:lang w:eastAsia="hr-HR"/>
        </w:rPr>
        <w:t>9</w:t>
      </w:r>
      <w:r w:rsidRPr="00C0186C">
        <w:rPr>
          <w:rFonts w:ascii="Times New Roman" w:eastAsia="Calibri" w:hAnsi="Times New Roman" w:cs="Times New Roman"/>
          <w:sz w:val="24"/>
          <w:szCs w:val="24"/>
          <w:lang w:eastAsia="hr-HR"/>
        </w:rPr>
        <w:t xml:space="preserve">. godine. Posljedica toga je i zabrinjavajuće pražnjenje </w:t>
      </w:r>
      <w:r w:rsidR="00EE2799" w:rsidRPr="00C0186C">
        <w:rPr>
          <w:rFonts w:ascii="Times New Roman" w:eastAsia="Calibri" w:hAnsi="Times New Roman" w:cs="Times New Roman"/>
          <w:sz w:val="24"/>
          <w:szCs w:val="24"/>
          <w:lang w:eastAsia="hr-HR"/>
        </w:rPr>
        <w:t xml:space="preserve">područja </w:t>
      </w:r>
      <w:r w:rsidRPr="00C0186C">
        <w:rPr>
          <w:rFonts w:ascii="Times New Roman" w:eastAsia="Calibri" w:hAnsi="Times New Roman" w:cs="Times New Roman"/>
          <w:sz w:val="24"/>
          <w:szCs w:val="24"/>
          <w:lang w:eastAsia="hr-HR"/>
        </w:rPr>
        <w:t>lokalnih samouprava sa statusom potpomognutih područja, što ih čini posebno osjetljivim s aspekta razvojnih kapaciteta i budućih ekonomskih, socijalnih i društvenih promjena;</w:t>
      </w:r>
    </w:p>
    <w:p w14:paraId="6D9357E8" w14:textId="77777777" w:rsidR="00CC5008" w:rsidRPr="00C0186C" w:rsidRDefault="00CC5008"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Struktura stanovništva s obzirom na dob se pogoršava, što potvrđuju pokazatelji dobne strukture, te indeks starenja. Zbog toga se smanjuje radno aktivni kontingent te ova područja bilježe daljnje zaostajanje i gubitak razvojnih kompetencija, kako unutar regionalnih, odnosno županijskih područja, tako i u odnosu na nacionalni, a posebice međunarodni, usporedivi prostor</w:t>
      </w:r>
      <w:r w:rsidR="000B4751" w:rsidRPr="00C0186C">
        <w:rPr>
          <w:rFonts w:ascii="Times New Roman" w:eastAsia="Calibri" w:hAnsi="Times New Roman" w:cs="Times New Roman"/>
          <w:sz w:val="24"/>
          <w:szCs w:val="24"/>
          <w:lang w:eastAsia="hr-HR"/>
        </w:rPr>
        <w:t>;</w:t>
      </w:r>
    </w:p>
    <w:p w14:paraId="48A058F7" w14:textId="71572E15" w:rsidR="00CC5008" w:rsidRPr="00C0186C" w:rsidRDefault="00CC5008"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Iako broj zaposlenih u razdoblju od 2015. do 201</w:t>
      </w:r>
      <w:r w:rsidR="002432E3" w:rsidRPr="00C0186C">
        <w:rPr>
          <w:rFonts w:ascii="Times New Roman" w:eastAsia="Calibri" w:hAnsi="Times New Roman" w:cs="Times New Roman"/>
          <w:sz w:val="24"/>
          <w:szCs w:val="24"/>
          <w:lang w:eastAsia="hr-HR"/>
        </w:rPr>
        <w:t>9</w:t>
      </w:r>
      <w:r w:rsidRPr="00C0186C">
        <w:rPr>
          <w:rFonts w:ascii="Times New Roman" w:eastAsia="Calibri" w:hAnsi="Times New Roman" w:cs="Times New Roman"/>
          <w:sz w:val="24"/>
          <w:szCs w:val="24"/>
          <w:lang w:eastAsia="hr-HR"/>
        </w:rPr>
        <w:t>. godine raste, dug</w:t>
      </w:r>
      <w:r w:rsidR="00067DB0" w:rsidRPr="00C0186C">
        <w:rPr>
          <w:rFonts w:ascii="Times New Roman" w:eastAsia="Calibri" w:hAnsi="Times New Roman" w:cs="Times New Roman"/>
          <w:sz w:val="24"/>
          <w:szCs w:val="24"/>
          <w:lang w:eastAsia="hr-HR"/>
        </w:rPr>
        <w:t xml:space="preserve">oročno gledano, zaposlenost se </w:t>
      </w:r>
      <w:r w:rsidRPr="00C0186C">
        <w:rPr>
          <w:rFonts w:ascii="Times New Roman" w:eastAsia="Calibri" w:hAnsi="Times New Roman" w:cs="Times New Roman"/>
          <w:sz w:val="24"/>
          <w:szCs w:val="24"/>
          <w:lang w:eastAsia="hr-HR"/>
        </w:rPr>
        <w:t>(2008. – 201</w:t>
      </w:r>
      <w:r w:rsidR="002432E3" w:rsidRPr="00C0186C">
        <w:rPr>
          <w:rFonts w:ascii="Times New Roman" w:eastAsia="Calibri" w:hAnsi="Times New Roman" w:cs="Times New Roman"/>
          <w:sz w:val="24"/>
          <w:szCs w:val="24"/>
          <w:lang w:eastAsia="hr-HR"/>
        </w:rPr>
        <w:t>9</w:t>
      </w:r>
      <w:r w:rsidRPr="00C0186C">
        <w:rPr>
          <w:rFonts w:ascii="Times New Roman" w:eastAsia="Calibri" w:hAnsi="Times New Roman" w:cs="Times New Roman"/>
          <w:sz w:val="24"/>
          <w:szCs w:val="24"/>
          <w:lang w:eastAsia="hr-HR"/>
        </w:rPr>
        <w:t xml:space="preserve">.) smanjivala i nije dostigla razinu iz 2008. godine. Važno je istaknuti da se pad broja zaposlenih u Republici Hrvatskoj u navedenom razdoblju dominantno odnosi na </w:t>
      </w:r>
      <w:r w:rsidR="007038CF" w:rsidRPr="00C0186C">
        <w:rPr>
          <w:rFonts w:ascii="Times New Roman" w:eastAsia="Calibri" w:hAnsi="Times New Roman" w:cs="Times New Roman"/>
          <w:sz w:val="24"/>
          <w:szCs w:val="24"/>
          <w:lang w:eastAsia="hr-HR"/>
        </w:rPr>
        <w:t>JLS</w:t>
      </w:r>
      <w:r w:rsidR="00252936">
        <w:rPr>
          <w:rFonts w:ascii="Times New Roman" w:eastAsia="Calibri" w:hAnsi="Times New Roman" w:cs="Times New Roman"/>
          <w:sz w:val="24"/>
          <w:szCs w:val="24"/>
          <w:lang w:eastAsia="hr-HR"/>
        </w:rPr>
        <w:t>-ove</w:t>
      </w:r>
      <w:r w:rsidRPr="00C0186C">
        <w:rPr>
          <w:rFonts w:ascii="Times New Roman" w:eastAsia="Calibri" w:hAnsi="Times New Roman" w:cs="Times New Roman"/>
          <w:sz w:val="24"/>
          <w:szCs w:val="24"/>
          <w:lang w:eastAsia="hr-HR"/>
        </w:rPr>
        <w:t xml:space="preserve"> sa </w:t>
      </w:r>
      <w:r w:rsidR="00161D58" w:rsidRPr="00C0186C">
        <w:rPr>
          <w:rFonts w:ascii="Times New Roman" w:eastAsia="Calibri" w:hAnsi="Times New Roman" w:cs="Times New Roman"/>
          <w:sz w:val="24"/>
          <w:szCs w:val="24"/>
          <w:lang w:eastAsia="hr-HR"/>
        </w:rPr>
        <w:t>statusom potpomognutih područja, na čije područje se odnosi oko</w:t>
      </w:r>
      <w:r w:rsidRPr="00C0186C">
        <w:rPr>
          <w:rFonts w:ascii="Times New Roman" w:eastAsia="Calibri" w:hAnsi="Times New Roman" w:cs="Times New Roman"/>
          <w:sz w:val="24"/>
          <w:szCs w:val="24"/>
          <w:lang w:eastAsia="hr-HR"/>
        </w:rPr>
        <w:t xml:space="preserve"> 80% od ukupnog smanjenja zaposlenosti;</w:t>
      </w:r>
    </w:p>
    <w:p w14:paraId="4A81D4F8" w14:textId="77777777" w:rsidR="00CC5008" w:rsidRPr="00C0186C" w:rsidRDefault="00CC5008"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 xml:space="preserve">Nezaposlenost se dugoročno smanjuje, </w:t>
      </w:r>
      <w:r w:rsidR="002432E3" w:rsidRPr="00C0186C">
        <w:rPr>
          <w:rFonts w:ascii="Times New Roman" w:eastAsia="Calibri" w:hAnsi="Times New Roman" w:cs="Times New Roman"/>
          <w:sz w:val="24"/>
          <w:szCs w:val="24"/>
          <w:lang w:eastAsia="hr-HR"/>
        </w:rPr>
        <w:t>a posebno u</w:t>
      </w:r>
      <w:r w:rsidRPr="00C0186C">
        <w:rPr>
          <w:rFonts w:ascii="Times New Roman" w:eastAsia="Calibri" w:hAnsi="Times New Roman" w:cs="Times New Roman"/>
          <w:sz w:val="24"/>
          <w:szCs w:val="24"/>
          <w:lang w:eastAsia="hr-HR"/>
        </w:rPr>
        <w:t xml:space="preserve"> razdoblju od 2015. do 201</w:t>
      </w:r>
      <w:r w:rsidR="002432E3" w:rsidRPr="00C0186C">
        <w:rPr>
          <w:rFonts w:ascii="Times New Roman" w:eastAsia="Calibri" w:hAnsi="Times New Roman" w:cs="Times New Roman"/>
          <w:sz w:val="24"/>
          <w:szCs w:val="24"/>
          <w:lang w:eastAsia="hr-HR"/>
        </w:rPr>
        <w:t>9</w:t>
      </w:r>
      <w:r w:rsidRPr="00C0186C">
        <w:rPr>
          <w:rFonts w:ascii="Times New Roman" w:eastAsia="Calibri" w:hAnsi="Times New Roman" w:cs="Times New Roman"/>
          <w:sz w:val="24"/>
          <w:szCs w:val="24"/>
          <w:lang w:eastAsia="hr-HR"/>
        </w:rPr>
        <w:t xml:space="preserve">. godine. No, smanjenje nezaposlenosti na PP </w:t>
      </w:r>
      <w:r w:rsidR="002432E3" w:rsidRPr="00C0186C">
        <w:rPr>
          <w:rFonts w:ascii="Times New Roman" w:eastAsia="Calibri" w:hAnsi="Times New Roman" w:cs="Times New Roman"/>
          <w:sz w:val="24"/>
          <w:szCs w:val="24"/>
          <w:lang w:eastAsia="hr-HR"/>
        </w:rPr>
        <w:t xml:space="preserve">u dugom roku </w:t>
      </w:r>
      <w:r w:rsidRPr="00C0186C">
        <w:rPr>
          <w:rFonts w:ascii="Times New Roman" w:eastAsia="Calibri" w:hAnsi="Times New Roman" w:cs="Times New Roman"/>
          <w:sz w:val="24"/>
          <w:szCs w:val="24"/>
          <w:lang w:eastAsia="hr-HR"/>
        </w:rPr>
        <w:t>prvenstveno je determinirano negativnim demografskim i migracijskim kretanjima, a</w:t>
      </w:r>
      <w:r w:rsidR="002432E3" w:rsidRPr="00C0186C">
        <w:rPr>
          <w:rFonts w:ascii="Times New Roman" w:eastAsia="Calibri" w:hAnsi="Times New Roman" w:cs="Times New Roman"/>
          <w:sz w:val="24"/>
          <w:szCs w:val="24"/>
          <w:lang w:eastAsia="hr-HR"/>
        </w:rPr>
        <w:t xml:space="preserve"> tek od 2015. uvjetovano je</w:t>
      </w:r>
      <w:r w:rsidRPr="00C0186C">
        <w:rPr>
          <w:rFonts w:ascii="Times New Roman" w:eastAsia="Calibri" w:hAnsi="Times New Roman" w:cs="Times New Roman"/>
          <w:sz w:val="24"/>
          <w:szCs w:val="24"/>
          <w:lang w:eastAsia="hr-HR"/>
        </w:rPr>
        <w:t xml:space="preserve"> bitnim oživljavanjem gospodarskih aktivnosti i tranzicijom nezaposlenih osoba u kategoriju zaposlenih;</w:t>
      </w:r>
    </w:p>
    <w:p w14:paraId="71D414BE" w14:textId="0008A21E" w:rsidR="00CC5008" w:rsidRPr="00C0186C" w:rsidRDefault="00CC5008"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Dugoročna demografska kretanja, kao i kretanja zaposlenosti i nezaposlenosti na PP</w:t>
      </w:r>
      <w:r w:rsidR="00252936">
        <w:rPr>
          <w:rFonts w:ascii="Times New Roman" w:eastAsia="Calibri" w:hAnsi="Times New Roman" w:cs="Times New Roman"/>
          <w:sz w:val="24"/>
          <w:szCs w:val="24"/>
          <w:lang w:eastAsia="hr-HR"/>
        </w:rPr>
        <w:t>-u</w:t>
      </w:r>
      <w:r w:rsidRPr="00C0186C">
        <w:rPr>
          <w:rFonts w:ascii="Times New Roman" w:eastAsia="Calibri" w:hAnsi="Times New Roman" w:cs="Times New Roman"/>
          <w:sz w:val="24"/>
          <w:szCs w:val="24"/>
          <w:lang w:eastAsia="hr-HR"/>
        </w:rPr>
        <w:t xml:space="preserve"> imala su isti oblik krivulje kao i navedena kretanja na razini Republike Hrvatske, s obzirom na </w:t>
      </w:r>
      <w:proofErr w:type="spellStart"/>
      <w:r w:rsidRPr="00C0186C">
        <w:rPr>
          <w:rFonts w:ascii="Times New Roman" w:eastAsia="Calibri" w:hAnsi="Times New Roman" w:cs="Times New Roman"/>
          <w:sz w:val="24"/>
          <w:szCs w:val="24"/>
          <w:lang w:eastAsia="hr-HR"/>
        </w:rPr>
        <w:t>predkrizno</w:t>
      </w:r>
      <w:proofErr w:type="spellEnd"/>
      <w:r w:rsidRPr="00C0186C">
        <w:rPr>
          <w:rFonts w:ascii="Times New Roman" w:eastAsia="Calibri" w:hAnsi="Times New Roman" w:cs="Times New Roman"/>
          <w:sz w:val="24"/>
          <w:szCs w:val="24"/>
          <w:lang w:eastAsia="hr-HR"/>
        </w:rPr>
        <w:t xml:space="preserve">, krizno i </w:t>
      </w:r>
      <w:proofErr w:type="spellStart"/>
      <w:r w:rsidRPr="00C0186C">
        <w:rPr>
          <w:rFonts w:ascii="Times New Roman" w:eastAsia="Calibri" w:hAnsi="Times New Roman" w:cs="Times New Roman"/>
          <w:sz w:val="24"/>
          <w:szCs w:val="24"/>
          <w:lang w:eastAsia="hr-HR"/>
        </w:rPr>
        <w:t>postkrizno</w:t>
      </w:r>
      <w:proofErr w:type="spellEnd"/>
      <w:r w:rsidRPr="00C0186C">
        <w:rPr>
          <w:rFonts w:ascii="Times New Roman" w:eastAsia="Calibri" w:hAnsi="Times New Roman" w:cs="Times New Roman"/>
          <w:sz w:val="24"/>
          <w:szCs w:val="24"/>
          <w:lang w:eastAsia="hr-HR"/>
        </w:rPr>
        <w:t xml:space="preserve"> razdoblje. Međutim, s obzirom na dinamiku promjena u tim razdobljima, očito su negativni socijalni i ekonomski efekti gospodarske krize bili značajno veći na prostoru potpomognutih područja. Može se reći da je takav asimetričan utjecaj krize ostavio trajne i teško popravljive posljedice na području lokalnih samouprava sa statusom PP</w:t>
      </w:r>
      <w:r w:rsidR="00D654F8" w:rsidRPr="00C0186C">
        <w:rPr>
          <w:rFonts w:ascii="Times New Roman" w:eastAsia="Calibri" w:hAnsi="Times New Roman" w:cs="Times New Roman"/>
          <w:sz w:val="24"/>
          <w:szCs w:val="24"/>
          <w:lang w:eastAsia="hr-HR"/>
        </w:rPr>
        <w:t>-a</w:t>
      </w:r>
      <w:r w:rsidRPr="00C0186C">
        <w:rPr>
          <w:rFonts w:ascii="Times New Roman" w:eastAsia="Calibri" w:hAnsi="Times New Roman" w:cs="Times New Roman"/>
          <w:sz w:val="24"/>
          <w:szCs w:val="24"/>
          <w:lang w:eastAsia="hr-HR"/>
        </w:rPr>
        <w:t>;</w:t>
      </w:r>
    </w:p>
    <w:p w14:paraId="702CB761" w14:textId="77777777" w:rsidR="00CC5008" w:rsidRPr="00C0186C" w:rsidRDefault="00CC5008"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 xml:space="preserve">Jači kumulativni utjecaj gospodarske krize na potpomognuta područja može se sagledati i kroz kretanje ostvarenog apsolutnog i relativnog dohotka po stanovniku, kao i proračunskih prihoda. Iako dugoročno raste vrijednost ovih pokazatelja, i dalje postoji veliki </w:t>
      </w:r>
      <w:proofErr w:type="spellStart"/>
      <w:r w:rsidRPr="00C0186C">
        <w:rPr>
          <w:rFonts w:ascii="Times New Roman" w:eastAsia="Calibri" w:hAnsi="Times New Roman" w:cs="Times New Roman"/>
          <w:sz w:val="24"/>
          <w:szCs w:val="24"/>
          <w:lang w:eastAsia="hr-HR"/>
        </w:rPr>
        <w:t>gap</w:t>
      </w:r>
      <w:proofErr w:type="spellEnd"/>
      <w:r w:rsidRPr="00C0186C">
        <w:rPr>
          <w:rFonts w:ascii="Times New Roman" w:eastAsia="Calibri" w:hAnsi="Times New Roman" w:cs="Times New Roman"/>
          <w:sz w:val="24"/>
          <w:szCs w:val="24"/>
          <w:lang w:eastAsia="hr-HR"/>
        </w:rPr>
        <w:t xml:space="preserve"> u kupovnoj moći stanovništva (dohodak/</w:t>
      </w:r>
      <w:proofErr w:type="spellStart"/>
      <w:r w:rsidRPr="00C0186C">
        <w:rPr>
          <w:rFonts w:ascii="Times New Roman" w:eastAsia="Calibri" w:hAnsi="Times New Roman" w:cs="Times New Roman"/>
          <w:sz w:val="24"/>
          <w:szCs w:val="24"/>
          <w:lang w:eastAsia="hr-HR"/>
        </w:rPr>
        <w:t>pc</w:t>
      </w:r>
      <w:proofErr w:type="spellEnd"/>
      <w:r w:rsidRPr="00C0186C">
        <w:rPr>
          <w:rFonts w:ascii="Times New Roman" w:eastAsia="Calibri" w:hAnsi="Times New Roman" w:cs="Times New Roman"/>
          <w:sz w:val="24"/>
          <w:szCs w:val="24"/>
          <w:lang w:eastAsia="hr-HR"/>
        </w:rPr>
        <w:t>), kao i financijskim kapacitetima nužnim za dostizanje i održavanje odgovarajućeg standarda javnih usluga (proračunski prihodi/</w:t>
      </w:r>
      <w:proofErr w:type="spellStart"/>
      <w:r w:rsidRPr="00C0186C">
        <w:rPr>
          <w:rFonts w:ascii="Times New Roman" w:eastAsia="Calibri" w:hAnsi="Times New Roman" w:cs="Times New Roman"/>
          <w:sz w:val="24"/>
          <w:szCs w:val="24"/>
          <w:lang w:eastAsia="hr-HR"/>
        </w:rPr>
        <w:t>pc</w:t>
      </w:r>
      <w:proofErr w:type="spellEnd"/>
      <w:r w:rsidRPr="00C0186C">
        <w:rPr>
          <w:rFonts w:ascii="Times New Roman" w:eastAsia="Calibri" w:hAnsi="Times New Roman" w:cs="Times New Roman"/>
          <w:sz w:val="24"/>
          <w:szCs w:val="24"/>
          <w:lang w:eastAsia="hr-HR"/>
        </w:rPr>
        <w:t>)</w:t>
      </w:r>
      <w:r w:rsidR="00B17C6A" w:rsidRPr="00C0186C">
        <w:rPr>
          <w:rFonts w:ascii="Times New Roman" w:eastAsia="Calibri" w:hAnsi="Times New Roman" w:cs="Times New Roman"/>
          <w:sz w:val="24"/>
          <w:szCs w:val="24"/>
          <w:lang w:eastAsia="hr-HR"/>
        </w:rPr>
        <w:t xml:space="preserve"> na PP u odnosu na nacionalni prosjek</w:t>
      </w:r>
      <w:r w:rsidRPr="00C0186C">
        <w:rPr>
          <w:rFonts w:ascii="Times New Roman" w:eastAsia="Calibri" w:hAnsi="Times New Roman" w:cs="Times New Roman"/>
          <w:sz w:val="24"/>
          <w:szCs w:val="24"/>
          <w:lang w:eastAsia="hr-HR"/>
        </w:rPr>
        <w:t>;</w:t>
      </w:r>
    </w:p>
    <w:p w14:paraId="7E83F5E7" w14:textId="77777777" w:rsidR="00B17C6A" w:rsidRPr="00C0186C" w:rsidRDefault="00CC5008"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 xml:space="preserve">Također, analiza je pokazala značajnu ovisnost demografskih kretanja o stopi zaposlenosti odnosno nezaposlenosti što znači da dosadašnje mjere ekonomske, fiskalne pa i politike regionalnog razvoja nisu davale zadovoljavajuće rezultate; </w:t>
      </w:r>
      <w:r w:rsidR="002432E3" w:rsidRPr="00C0186C">
        <w:rPr>
          <w:rFonts w:ascii="Times New Roman" w:eastAsia="Calibri" w:hAnsi="Times New Roman" w:cs="Times New Roman"/>
          <w:sz w:val="24"/>
          <w:szCs w:val="24"/>
          <w:lang w:eastAsia="hr-HR"/>
        </w:rPr>
        <w:t>unatoč značajnijim povoljnim pomacima te bržem rastu zaposlenosti te dohotka u lokalnim samoupravama sa statusom PP</w:t>
      </w:r>
      <w:r w:rsidR="00342095" w:rsidRPr="00C0186C">
        <w:rPr>
          <w:rFonts w:ascii="Times New Roman" w:eastAsia="Calibri" w:hAnsi="Times New Roman" w:cs="Times New Roman"/>
          <w:sz w:val="24"/>
          <w:szCs w:val="24"/>
          <w:lang w:eastAsia="hr-HR"/>
        </w:rPr>
        <w:t>-a</w:t>
      </w:r>
      <w:r w:rsidR="002432E3" w:rsidRPr="00C0186C">
        <w:rPr>
          <w:rFonts w:ascii="Times New Roman" w:eastAsia="Calibri" w:hAnsi="Times New Roman" w:cs="Times New Roman"/>
          <w:sz w:val="24"/>
          <w:szCs w:val="24"/>
          <w:lang w:eastAsia="hr-HR"/>
        </w:rPr>
        <w:t xml:space="preserve"> od 2015. godine, dugoročna nepovoljna demografska kretanja </w:t>
      </w:r>
      <w:r w:rsidR="00342095" w:rsidRPr="00C0186C">
        <w:rPr>
          <w:rFonts w:ascii="Times New Roman" w:eastAsia="Calibri" w:hAnsi="Times New Roman" w:cs="Times New Roman"/>
          <w:sz w:val="24"/>
          <w:szCs w:val="24"/>
          <w:lang w:eastAsia="hr-HR"/>
        </w:rPr>
        <w:t xml:space="preserve">se </w:t>
      </w:r>
      <w:r w:rsidR="002432E3" w:rsidRPr="00C0186C">
        <w:rPr>
          <w:rFonts w:ascii="Times New Roman" w:eastAsia="Calibri" w:hAnsi="Times New Roman" w:cs="Times New Roman"/>
          <w:sz w:val="24"/>
          <w:szCs w:val="24"/>
          <w:lang w:eastAsia="hr-HR"/>
        </w:rPr>
        <w:t>ne mijenjaju;</w:t>
      </w:r>
    </w:p>
    <w:p w14:paraId="277D8DE3" w14:textId="77777777" w:rsidR="00CC5008" w:rsidRPr="00C0186C" w:rsidRDefault="00B17C6A"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Rezultati a</w:t>
      </w:r>
      <w:r w:rsidR="00CC5008" w:rsidRPr="00C0186C">
        <w:rPr>
          <w:rFonts w:ascii="Times New Roman" w:eastAsia="Calibri" w:hAnsi="Times New Roman" w:cs="Times New Roman"/>
          <w:sz w:val="24"/>
          <w:szCs w:val="24"/>
          <w:lang w:eastAsia="hr-HR"/>
        </w:rPr>
        <w:t>naliz</w:t>
      </w:r>
      <w:r w:rsidRPr="00C0186C">
        <w:rPr>
          <w:rFonts w:ascii="Times New Roman" w:eastAsia="Calibri" w:hAnsi="Times New Roman" w:cs="Times New Roman"/>
          <w:sz w:val="24"/>
          <w:szCs w:val="24"/>
          <w:lang w:eastAsia="hr-HR"/>
        </w:rPr>
        <w:t>e</w:t>
      </w:r>
      <w:r w:rsidR="00CC5008" w:rsidRPr="00C0186C">
        <w:rPr>
          <w:rFonts w:ascii="Times New Roman" w:eastAsia="Calibri" w:hAnsi="Times New Roman" w:cs="Times New Roman"/>
          <w:sz w:val="24"/>
          <w:szCs w:val="24"/>
          <w:lang w:eastAsia="hr-HR"/>
        </w:rPr>
        <w:t xml:space="preserve"> </w:t>
      </w:r>
      <w:r w:rsidRPr="00C0186C">
        <w:rPr>
          <w:rFonts w:ascii="Times New Roman" w:eastAsia="Calibri" w:hAnsi="Times New Roman" w:cs="Times New Roman"/>
          <w:sz w:val="24"/>
          <w:szCs w:val="24"/>
          <w:lang w:eastAsia="hr-HR"/>
        </w:rPr>
        <w:t>u</w:t>
      </w:r>
      <w:r w:rsidR="00B413DF" w:rsidRPr="00C0186C">
        <w:rPr>
          <w:rFonts w:ascii="Times New Roman" w:eastAsia="Calibri" w:hAnsi="Times New Roman" w:cs="Times New Roman"/>
          <w:sz w:val="24"/>
          <w:szCs w:val="24"/>
          <w:lang w:eastAsia="hr-HR"/>
        </w:rPr>
        <w:t>kazuju</w:t>
      </w:r>
      <w:r w:rsidR="00CC5008" w:rsidRPr="00C0186C">
        <w:rPr>
          <w:rFonts w:ascii="Times New Roman" w:eastAsia="Calibri" w:hAnsi="Times New Roman" w:cs="Times New Roman"/>
          <w:sz w:val="24"/>
          <w:szCs w:val="24"/>
          <w:lang w:eastAsia="hr-HR"/>
        </w:rPr>
        <w:t xml:space="preserve"> da su za dugoročna razvojna kretanja presudne mjere poticanja gospodarstva</w:t>
      </w:r>
      <w:r w:rsidR="00067DB0" w:rsidRPr="00C0186C">
        <w:rPr>
          <w:rFonts w:ascii="Times New Roman" w:eastAsia="Calibri" w:hAnsi="Times New Roman" w:cs="Times New Roman"/>
          <w:sz w:val="24"/>
          <w:szCs w:val="24"/>
          <w:lang w:eastAsia="hr-HR"/>
        </w:rPr>
        <w:t>,</w:t>
      </w:r>
      <w:r w:rsidR="00CC5008" w:rsidRPr="00C0186C">
        <w:rPr>
          <w:rFonts w:ascii="Times New Roman" w:eastAsia="Calibri" w:hAnsi="Times New Roman" w:cs="Times New Roman"/>
          <w:sz w:val="24"/>
          <w:szCs w:val="24"/>
          <w:lang w:eastAsia="hr-HR"/>
        </w:rPr>
        <w:t xml:space="preserve"> te povećanja zaposlenosti. Sami fiskalni transferi nisu se pokazali značajnima za </w:t>
      </w:r>
      <w:r w:rsidRPr="00C0186C">
        <w:rPr>
          <w:rFonts w:ascii="Times New Roman" w:eastAsia="Calibri" w:hAnsi="Times New Roman" w:cs="Times New Roman"/>
          <w:sz w:val="24"/>
          <w:szCs w:val="24"/>
          <w:lang w:eastAsia="hr-HR"/>
        </w:rPr>
        <w:t xml:space="preserve">pozitivne </w:t>
      </w:r>
      <w:r w:rsidR="00067DB0" w:rsidRPr="00C0186C">
        <w:rPr>
          <w:rFonts w:ascii="Times New Roman" w:eastAsia="Calibri" w:hAnsi="Times New Roman" w:cs="Times New Roman"/>
          <w:sz w:val="24"/>
          <w:szCs w:val="24"/>
          <w:lang w:eastAsia="hr-HR"/>
        </w:rPr>
        <w:t xml:space="preserve">razvojne </w:t>
      </w:r>
      <w:r w:rsidRPr="00C0186C">
        <w:rPr>
          <w:rFonts w:ascii="Times New Roman" w:eastAsia="Calibri" w:hAnsi="Times New Roman" w:cs="Times New Roman"/>
          <w:sz w:val="24"/>
          <w:szCs w:val="24"/>
          <w:lang w:eastAsia="hr-HR"/>
        </w:rPr>
        <w:t>promjene</w:t>
      </w:r>
      <w:r w:rsidR="00067DB0" w:rsidRPr="00C0186C">
        <w:rPr>
          <w:rFonts w:ascii="Times New Roman" w:eastAsia="Calibri" w:hAnsi="Times New Roman" w:cs="Times New Roman"/>
          <w:sz w:val="24"/>
          <w:szCs w:val="24"/>
          <w:lang w:eastAsia="hr-HR"/>
        </w:rPr>
        <w:t xml:space="preserve"> </w:t>
      </w:r>
      <w:r w:rsidR="00BE70EB" w:rsidRPr="00C0186C">
        <w:rPr>
          <w:rFonts w:ascii="Times New Roman" w:eastAsia="Calibri" w:hAnsi="Times New Roman" w:cs="Times New Roman"/>
          <w:sz w:val="24"/>
          <w:szCs w:val="24"/>
          <w:lang w:eastAsia="hr-HR"/>
        </w:rPr>
        <w:t>,</w:t>
      </w:r>
      <w:r w:rsidR="00CC5008" w:rsidRPr="00C0186C">
        <w:rPr>
          <w:rFonts w:ascii="Times New Roman" w:eastAsia="Calibri" w:hAnsi="Times New Roman" w:cs="Times New Roman"/>
          <w:sz w:val="24"/>
          <w:szCs w:val="24"/>
          <w:lang w:eastAsia="hr-HR"/>
        </w:rPr>
        <w:t xml:space="preserve"> te su potrebna dodatna sredstva </w:t>
      </w:r>
      <w:r w:rsidR="00BE70EB" w:rsidRPr="00C0186C">
        <w:rPr>
          <w:rFonts w:ascii="Times New Roman" w:eastAsia="Calibri" w:hAnsi="Times New Roman" w:cs="Times New Roman"/>
          <w:sz w:val="24"/>
          <w:szCs w:val="24"/>
          <w:lang w:eastAsia="hr-HR"/>
        </w:rPr>
        <w:t xml:space="preserve">koja će se </w:t>
      </w:r>
      <w:r w:rsidR="00CC5008" w:rsidRPr="00C0186C">
        <w:rPr>
          <w:rFonts w:ascii="Times New Roman" w:eastAsia="Calibri" w:hAnsi="Times New Roman" w:cs="Times New Roman"/>
          <w:sz w:val="24"/>
          <w:szCs w:val="24"/>
          <w:lang w:eastAsia="hr-HR"/>
        </w:rPr>
        <w:t>dominantno usmjer</w:t>
      </w:r>
      <w:r w:rsidR="00BE70EB" w:rsidRPr="00C0186C">
        <w:rPr>
          <w:rFonts w:ascii="Times New Roman" w:eastAsia="Calibri" w:hAnsi="Times New Roman" w:cs="Times New Roman"/>
          <w:sz w:val="24"/>
          <w:szCs w:val="24"/>
          <w:lang w:eastAsia="hr-HR"/>
        </w:rPr>
        <w:t>iti</w:t>
      </w:r>
      <w:r w:rsidR="00CC5008" w:rsidRPr="00C0186C">
        <w:rPr>
          <w:rFonts w:ascii="Times New Roman" w:eastAsia="Calibri" w:hAnsi="Times New Roman" w:cs="Times New Roman"/>
          <w:sz w:val="24"/>
          <w:szCs w:val="24"/>
          <w:lang w:eastAsia="hr-HR"/>
        </w:rPr>
        <w:t xml:space="preserve"> prema izravnom i neizravnom poticanju gospodarskog razvoja;</w:t>
      </w:r>
    </w:p>
    <w:p w14:paraId="16B917C2" w14:textId="77777777" w:rsidR="00CC5008" w:rsidRPr="00C0186C" w:rsidRDefault="00BE70EB" w:rsidP="00B70EE8">
      <w:pPr>
        <w:numPr>
          <w:ilvl w:val="0"/>
          <w:numId w:val="2"/>
        </w:numPr>
        <w:spacing w:before="0" w:after="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E</w:t>
      </w:r>
      <w:r w:rsidR="00CC5008" w:rsidRPr="00C0186C">
        <w:rPr>
          <w:rFonts w:ascii="Times New Roman" w:eastAsia="Calibri" w:hAnsi="Times New Roman" w:cs="Times New Roman"/>
          <w:sz w:val="24"/>
          <w:szCs w:val="24"/>
          <w:lang w:eastAsia="hr-HR"/>
        </w:rPr>
        <w:t>konomsko-financijska kriza ostavila</w:t>
      </w:r>
      <w:r w:rsidRPr="00C0186C">
        <w:rPr>
          <w:rFonts w:ascii="Times New Roman" w:eastAsia="Calibri" w:hAnsi="Times New Roman" w:cs="Times New Roman"/>
          <w:sz w:val="24"/>
          <w:szCs w:val="24"/>
          <w:lang w:eastAsia="hr-HR"/>
        </w:rPr>
        <w:t xml:space="preserve"> je</w:t>
      </w:r>
      <w:r w:rsidR="00CC5008" w:rsidRPr="00C0186C">
        <w:rPr>
          <w:rFonts w:ascii="Times New Roman" w:eastAsia="Calibri" w:hAnsi="Times New Roman" w:cs="Times New Roman"/>
          <w:sz w:val="24"/>
          <w:szCs w:val="24"/>
          <w:lang w:eastAsia="hr-HR"/>
        </w:rPr>
        <w:t xml:space="preserve"> trajne razvojne posljedice na potpomognut</w:t>
      </w:r>
      <w:r w:rsidRPr="00C0186C">
        <w:rPr>
          <w:rFonts w:ascii="Times New Roman" w:eastAsia="Calibri" w:hAnsi="Times New Roman" w:cs="Times New Roman"/>
          <w:sz w:val="24"/>
          <w:szCs w:val="24"/>
          <w:lang w:eastAsia="hr-HR"/>
        </w:rPr>
        <w:t>im</w:t>
      </w:r>
      <w:r w:rsidR="00CC5008" w:rsidRPr="00C0186C">
        <w:rPr>
          <w:rFonts w:ascii="Times New Roman" w:eastAsia="Calibri" w:hAnsi="Times New Roman" w:cs="Times New Roman"/>
          <w:sz w:val="24"/>
          <w:szCs w:val="24"/>
          <w:lang w:eastAsia="hr-HR"/>
        </w:rPr>
        <w:t xml:space="preserve"> područj</w:t>
      </w:r>
      <w:r w:rsidRPr="00C0186C">
        <w:rPr>
          <w:rFonts w:ascii="Times New Roman" w:eastAsia="Calibri" w:hAnsi="Times New Roman" w:cs="Times New Roman"/>
          <w:sz w:val="24"/>
          <w:szCs w:val="24"/>
          <w:lang w:eastAsia="hr-HR"/>
        </w:rPr>
        <w:t>ima</w:t>
      </w:r>
      <w:r w:rsidR="00CC5008" w:rsidRPr="00C0186C">
        <w:rPr>
          <w:rFonts w:ascii="Times New Roman" w:eastAsia="Calibri" w:hAnsi="Times New Roman" w:cs="Times New Roman"/>
          <w:sz w:val="24"/>
          <w:szCs w:val="24"/>
          <w:lang w:eastAsia="hr-HR"/>
        </w:rPr>
        <w:t xml:space="preserve">. Naime, s obzirom da je nezaposlenost bila jedan od važnijih čimbenika iseljavanja, kontingent radno aktivnog stanovništva na </w:t>
      </w:r>
      <w:r w:rsidR="007038CF" w:rsidRPr="00C0186C">
        <w:rPr>
          <w:rFonts w:ascii="Times New Roman" w:eastAsia="Calibri" w:hAnsi="Times New Roman" w:cs="Times New Roman"/>
          <w:sz w:val="24"/>
          <w:szCs w:val="24"/>
          <w:lang w:eastAsia="hr-HR"/>
        </w:rPr>
        <w:t>JLS</w:t>
      </w:r>
      <w:r w:rsidR="00342095" w:rsidRPr="00C0186C">
        <w:rPr>
          <w:rFonts w:ascii="Times New Roman" w:eastAsia="Calibri" w:hAnsi="Times New Roman" w:cs="Times New Roman"/>
          <w:sz w:val="24"/>
          <w:szCs w:val="24"/>
          <w:lang w:eastAsia="hr-HR"/>
        </w:rPr>
        <w:t>-u</w:t>
      </w:r>
      <w:r w:rsidR="00CC5008" w:rsidRPr="00C0186C">
        <w:rPr>
          <w:rFonts w:ascii="Times New Roman" w:eastAsia="Calibri" w:hAnsi="Times New Roman" w:cs="Times New Roman"/>
          <w:sz w:val="24"/>
          <w:szCs w:val="24"/>
          <w:lang w:eastAsia="hr-HR"/>
        </w:rPr>
        <w:t xml:space="preserve"> sa statusom PP trajno je smanjen. </w:t>
      </w:r>
      <w:r w:rsidR="008F05E3" w:rsidRPr="00C0186C">
        <w:rPr>
          <w:rFonts w:ascii="Times New Roman" w:eastAsia="Calibri" w:hAnsi="Times New Roman" w:cs="Times New Roman"/>
          <w:sz w:val="24"/>
          <w:szCs w:val="24"/>
          <w:lang w:eastAsia="hr-HR"/>
        </w:rPr>
        <w:t>To dovodi u pitanje i mogućnost</w:t>
      </w:r>
      <w:r w:rsidR="00CC5008" w:rsidRPr="00C0186C">
        <w:rPr>
          <w:rFonts w:ascii="Times New Roman" w:eastAsia="Calibri" w:hAnsi="Times New Roman" w:cs="Times New Roman"/>
          <w:sz w:val="24"/>
          <w:szCs w:val="24"/>
          <w:lang w:eastAsia="hr-HR"/>
        </w:rPr>
        <w:t xml:space="preserve"> </w:t>
      </w:r>
      <w:r w:rsidR="008F05E3" w:rsidRPr="00C0186C">
        <w:rPr>
          <w:rFonts w:ascii="Times New Roman" w:eastAsia="Calibri" w:hAnsi="Times New Roman" w:cs="Times New Roman"/>
          <w:sz w:val="24"/>
          <w:szCs w:val="24"/>
          <w:lang w:eastAsia="hr-HR"/>
        </w:rPr>
        <w:t>realizacije</w:t>
      </w:r>
      <w:r w:rsidR="00CC5008" w:rsidRPr="00C0186C">
        <w:rPr>
          <w:rFonts w:ascii="Times New Roman" w:eastAsia="Calibri" w:hAnsi="Times New Roman" w:cs="Times New Roman"/>
          <w:sz w:val="24"/>
          <w:szCs w:val="24"/>
          <w:lang w:eastAsia="hr-HR"/>
        </w:rPr>
        <w:t xml:space="preserve"> </w:t>
      </w:r>
      <w:proofErr w:type="spellStart"/>
      <w:r w:rsidR="00CC5008" w:rsidRPr="00C0186C">
        <w:rPr>
          <w:rFonts w:ascii="Times New Roman" w:eastAsia="Calibri" w:hAnsi="Times New Roman" w:cs="Times New Roman"/>
          <w:sz w:val="24"/>
          <w:szCs w:val="24"/>
          <w:lang w:eastAsia="hr-HR"/>
        </w:rPr>
        <w:t>predkrizne</w:t>
      </w:r>
      <w:proofErr w:type="spellEnd"/>
      <w:r w:rsidR="00CC5008" w:rsidRPr="00C0186C">
        <w:rPr>
          <w:rFonts w:ascii="Times New Roman" w:eastAsia="Calibri" w:hAnsi="Times New Roman" w:cs="Times New Roman"/>
          <w:sz w:val="24"/>
          <w:szCs w:val="24"/>
          <w:lang w:eastAsia="hr-HR"/>
        </w:rPr>
        <w:t xml:space="preserve"> razine dohotka i zaposlenosti </w:t>
      </w:r>
      <w:r w:rsidR="008F05E3" w:rsidRPr="00C0186C">
        <w:rPr>
          <w:rFonts w:ascii="Times New Roman" w:eastAsia="Calibri" w:hAnsi="Times New Roman" w:cs="Times New Roman"/>
          <w:sz w:val="24"/>
          <w:szCs w:val="24"/>
          <w:lang w:eastAsia="hr-HR"/>
        </w:rPr>
        <w:t xml:space="preserve">u budućem razdoblju. </w:t>
      </w:r>
    </w:p>
    <w:p w14:paraId="55D11C3B" w14:textId="77777777" w:rsidR="00800BCB" w:rsidRPr="00C0186C" w:rsidRDefault="00800BCB" w:rsidP="00B70EE8">
      <w:pPr>
        <w:spacing w:before="0" w:after="0"/>
        <w:jc w:val="both"/>
        <w:rPr>
          <w:rFonts w:ascii="Times New Roman" w:eastAsia="Calibri" w:hAnsi="Times New Roman" w:cs="Times New Roman"/>
          <w:sz w:val="24"/>
          <w:szCs w:val="24"/>
          <w:lang w:eastAsia="hr-HR"/>
        </w:rPr>
      </w:pPr>
    </w:p>
    <w:p w14:paraId="5234EA76" w14:textId="77777777" w:rsidR="00946229" w:rsidRPr="00C0186C" w:rsidRDefault="00764A4D" w:rsidP="00B70EE8">
      <w:pPr>
        <w:pStyle w:val="Heading2"/>
        <w:spacing w:before="0"/>
        <w:rPr>
          <w:rFonts w:ascii="Times New Roman" w:hAnsi="Times New Roman" w:cs="Times New Roman"/>
          <w:sz w:val="24"/>
          <w:szCs w:val="24"/>
        </w:rPr>
      </w:pPr>
      <w:bookmarkStart w:id="11" w:name="_Toc95891857"/>
      <w:r w:rsidRPr="00C0186C">
        <w:rPr>
          <w:rFonts w:ascii="Times New Roman" w:hAnsi="Times New Roman" w:cs="Times New Roman"/>
          <w:b/>
          <w:bCs/>
          <w:sz w:val="24"/>
          <w:szCs w:val="24"/>
        </w:rPr>
        <w:t>3.2</w:t>
      </w:r>
      <w:r w:rsidRPr="00C0186C">
        <w:rPr>
          <w:rFonts w:ascii="Times New Roman" w:hAnsi="Times New Roman" w:cs="Times New Roman"/>
          <w:sz w:val="24"/>
          <w:szCs w:val="24"/>
        </w:rPr>
        <w:t xml:space="preserve">. </w:t>
      </w:r>
      <w:r w:rsidR="00946229" w:rsidRPr="00C0186C">
        <w:rPr>
          <w:rFonts w:ascii="Times New Roman" w:hAnsi="Times New Roman" w:cs="Times New Roman"/>
          <w:b/>
          <w:bCs/>
          <w:sz w:val="24"/>
          <w:szCs w:val="24"/>
        </w:rPr>
        <w:t>KRATKOROČNI POKAZATELJI STANJA</w:t>
      </w:r>
      <w:bookmarkEnd w:id="11"/>
      <w:r w:rsidR="00946229" w:rsidRPr="00C0186C">
        <w:rPr>
          <w:rFonts w:ascii="Times New Roman" w:hAnsi="Times New Roman" w:cs="Times New Roman"/>
          <w:sz w:val="24"/>
          <w:szCs w:val="24"/>
        </w:rPr>
        <w:t xml:space="preserve"> </w:t>
      </w:r>
    </w:p>
    <w:p w14:paraId="53138157" w14:textId="77777777" w:rsidR="00FB680E" w:rsidRPr="00C0186C" w:rsidRDefault="00FB680E" w:rsidP="00B70EE8">
      <w:pPr>
        <w:spacing w:before="0" w:after="0"/>
        <w:jc w:val="both"/>
        <w:rPr>
          <w:rFonts w:ascii="Times New Roman" w:hAnsi="Times New Roman" w:cs="Times New Roman"/>
          <w:bCs/>
          <w:sz w:val="24"/>
          <w:szCs w:val="24"/>
        </w:rPr>
      </w:pPr>
    </w:p>
    <w:p w14:paraId="2E55C398" w14:textId="4D13B9F6" w:rsidR="00946229" w:rsidRPr="00C0186C" w:rsidRDefault="00A20EE8" w:rsidP="00B70EE8">
      <w:pPr>
        <w:spacing w:before="0" w:after="120"/>
        <w:jc w:val="both"/>
        <w:rPr>
          <w:rFonts w:ascii="Times New Roman" w:hAnsi="Times New Roman" w:cs="Times New Roman"/>
          <w:bCs/>
          <w:sz w:val="24"/>
          <w:szCs w:val="24"/>
        </w:rPr>
      </w:pPr>
      <w:r w:rsidRPr="00C0186C">
        <w:rPr>
          <w:rFonts w:ascii="Times New Roman" w:hAnsi="Times New Roman" w:cs="Times New Roman"/>
          <w:bCs/>
          <w:sz w:val="24"/>
          <w:szCs w:val="24"/>
        </w:rPr>
        <w:t>Rezultati provedene analize za razdoblje od 2015. do 201</w:t>
      </w:r>
      <w:r w:rsidR="002432E3" w:rsidRPr="00C0186C">
        <w:rPr>
          <w:rFonts w:ascii="Times New Roman" w:hAnsi="Times New Roman" w:cs="Times New Roman"/>
          <w:bCs/>
          <w:sz w:val="24"/>
          <w:szCs w:val="24"/>
        </w:rPr>
        <w:t>9</w:t>
      </w:r>
      <w:r w:rsidRPr="00C0186C">
        <w:rPr>
          <w:rFonts w:ascii="Times New Roman" w:hAnsi="Times New Roman" w:cs="Times New Roman"/>
          <w:bCs/>
          <w:sz w:val="24"/>
          <w:szCs w:val="24"/>
        </w:rPr>
        <w:t>. godine, koji se odnose na demografska, ekonomska, socijalna i fiskalna obilježja PP</w:t>
      </w:r>
      <w:r w:rsidR="00EA5743">
        <w:rPr>
          <w:rFonts w:ascii="Times New Roman" w:hAnsi="Times New Roman" w:cs="Times New Roman"/>
          <w:bCs/>
          <w:sz w:val="24"/>
          <w:szCs w:val="24"/>
        </w:rPr>
        <w:t>-a</w:t>
      </w:r>
      <w:r w:rsidRPr="00C0186C">
        <w:rPr>
          <w:rFonts w:ascii="Times New Roman" w:hAnsi="Times New Roman" w:cs="Times New Roman"/>
          <w:bCs/>
          <w:sz w:val="24"/>
          <w:szCs w:val="24"/>
        </w:rPr>
        <w:t xml:space="preserve"> prema novom načinu izračuna </w:t>
      </w:r>
      <w:r w:rsidRPr="00C0186C">
        <w:rPr>
          <w:rFonts w:ascii="Times New Roman" w:eastAsia="Calibri" w:hAnsi="Times New Roman" w:cs="Times New Roman"/>
          <w:sz w:val="24"/>
          <w:szCs w:val="24"/>
          <w:lang w:eastAsia="hr-HR"/>
        </w:rPr>
        <w:t>indeksa</w:t>
      </w:r>
      <w:r w:rsidRPr="00C0186C">
        <w:rPr>
          <w:rFonts w:ascii="Times New Roman" w:hAnsi="Times New Roman" w:cs="Times New Roman"/>
          <w:bCs/>
          <w:sz w:val="24"/>
          <w:szCs w:val="24"/>
        </w:rPr>
        <w:t xml:space="preserve"> razvijenosti su sljedeći:</w:t>
      </w:r>
    </w:p>
    <w:p w14:paraId="2B3D61A8" w14:textId="23CEDF88" w:rsidR="00946229" w:rsidRPr="00C0186C" w:rsidRDefault="00A20EE8"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Pokazatelji demografskog stanja na PP</w:t>
      </w:r>
      <w:r w:rsidR="00EA5743">
        <w:rPr>
          <w:rFonts w:ascii="Times New Roman" w:eastAsia="Calibri" w:hAnsi="Times New Roman" w:cs="Times New Roman"/>
          <w:sz w:val="24"/>
          <w:szCs w:val="24"/>
          <w:lang w:eastAsia="hr-HR"/>
        </w:rPr>
        <w:t>-u</w:t>
      </w:r>
      <w:r w:rsidRPr="00C0186C">
        <w:rPr>
          <w:rFonts w:ascii="Times New Roman" w:eastAsia="Calibri" w:hAnsi="Times New Roman" w:cs="Times New Roman"/>
          <w:sz w:val="24"/>
          <w:szCs w:val="24"/>
          <w:lang w:eastAsia="hr-HR"/>
        </w:rPr>
        <w:t xml:space="preserve"> ukupno, </w:t>
      </w:r>
      <w:r w:rsidR="008C60AD" w:rsidRPr="00C0186C">
        <w:rPr>
          <w:rFonts w:ascii="Times New Roman" w:eastAsia="Calibri" w:hAnsi="Times New Roman" w:cs="Times New Roman"/>
          <w:sz w:val="24"/>
          <w:szCs w:val="24"/>
          <w:lang w:eastAsia="hr-HR"/>
        </w:rPr>
        <w:t xml:space="preserve">te </w:t>
      </w:r>
      <w:r w:rsidRPr="00C0186C">
        <w:rPr>
          <w:rFonts w:ascii="Times New Roman" w:eastAsia="Calibri" w:hAnsi="Times New Roman" w:cs="Times New Roman"/>
          <w:sz w:val="24"/>
          <w:szCs w:val="24"/>
          <w:lang w:eastAsia="hr-HR"/>
        </w:rPr>
        <w:t xml:space="preserve">svake od četiri ispodprosječne razvojne skupine, uglavnom su nepovoljniji u odnosu na nacionalni prosjek. </w:t>
      </w:r>
      <w:r w:rsidR="00FB680E" w:rsidRPr="00C0186C">
        <w:rPr>
          <w:rFonts w:ascii="Times New Roman" w:eastAsia="Calibri" w:hAnsi="Times New Roman" w:cs="Times New Roman"/>
          <w:sz w:val="24"/>
          <w:szCs w:val="24"/>
          <w:lang w:eastAsia="hr-HR"/>
        </w:rPr>
        <w:t>C</w:t>
      </w:r>
      <w:r w:rsidR="00B2520F" w:rsidRPr="00C0186C">
        <w:rPr>
          <w:rFonts w:ascii="Times New Roman" w:eastAsia="Calibri" w:hAnsi="Times New Roman" w:cs="Times New Roman"/>
          <w:sz w:val="24"/>
          <w:szCs w:val="24"/>
          <w:lang w:eastAsia="hr-HR"/>
        </w:rPr>
        <w:t xml:space="preserve">jelokupni nacionalni prostor Republike Hrvatske i od 2015. godine bilježi nepovoljna demografska kretanja koja su posebno naglašena u lokalnim samoupravama sa </w:t>
      </w:r>
      <w:r w:rsidR="00FB680E" w:rsidRPr="00C0186C">
        <w:rPr>
          <w:rFonts w:ascii="Times New Roman" w:eastAsia="Calibri" w:hAnsi="Times New Roman" w:cs="Times New Roman"/>
          <w:sz w:val="24"/>
          <w:szCs w:val="24"/>
          <w:lang w:eastAsia="hr-HR"/>
        </w:rPr>
        <w:t>statusom potpomognutih područja. Izdvaja se prva razvojna</w:t>
      </w:r>
      <w:r w:rsidR="00B2520F" w:rsidRPr="00C0186C">
        <w:rPr>
          <w:rFonts w:ascii="Times New Roman" w:eastAsia="Calibri" w:hAnsi="Times New Roman" w:cs="Times New Roman"/>
          <w:sz w:val="24"/>
          <w:szCs w:val="24"/>
          <w:lang w:eastAsia="hr-HR"/>
        </w:rPr>
        <w:t xml:space="preserve"> skupin</w:t>
      </w:r>
      <w:r w:rsidR="00EA5743">
        <w:rPr>
          <w:rFonts w:ascii="Times New Roman" w:eastAsia="Calibri" w:hAnsi="Times New Roman" w:cs="Times New Roman"/>
          <w:sz w:val="24"/>
          <w:szCs w:val="24"/>
          <w:lang w:eastAsia="hr-HR"/>
        </w:rPr>
        <w:t>a</w:t>
      </w:r>
      <w:r w:rsidR="00B2520F" w:rsidRPr="00C0186C">
        <w:rPr>
          <w:rFonts w:ascii="Times New Roman" w:eastAsia="Calibri" w:hAnsi="Times New Roman" w:cs="Times New Roman"/>
          <w:sz w:val="24"/>
          <w:szCs w:val="24"/>
          <w:lang w:eastAsia="hr-HR"/>
        </w:rPr>
        <w:t xml:space="preserve"> u okviru koje se veliki broj lokalnih samouprava nalazi u fazi populacijskog izumiranja s neznatnim udjelom kontingenta mladih te dominantnim udjelom staračkog stanovništva</w:t>
      </w:r>
      <w:r w:rsidR="00FB680E" w:rsidRPr="00C0186C">
        <w:rPr>
          <w:rFonts w:ascii="Times New Roman" w:eastAsia="Calibri" w:hAnsi="Times New Roman" w:cs="Times New Roman"/>
          <w:sz w:val="24"/>
          <w:szCs w:val="24"/>
          <w:lang w:eastAsia="hr-HR"/>
        </w:rPr>
        <w:t>. T</w:t>
      </w:r>
      <w:r w:rsidR="00B2520F" w:rsidRPr="00C0186C">
        <w:rPr>
          <w:rFonts w:ascii="Times New Roman" w:eastAsia="Calibri" w:hAnsi="Times New Roman" w:cs="Times New Roman"/>
          <w:sz w:val="24"/>
          <w:szCs w:val="24"/>
          <w:lang w:eastAsia="hr-HR"/>
        </w:rPr>
        <w:t>akođer, druga, treća i četvrta razvojna skupina još uvijek ima</w:t>
      </w:r>
      <w:r w:rsidR="00FB680E" w:rsidRPr="00C0186C">
        <w:rPr>
          <w:rFonts w:ascii="Times New Roman" w:eastAsia="Calibri" w:hAnsi="Times New Roman" w:cs="Times New Roman"/>
          <w:sz w:val="24"/>
          <w:szCs w:val="24"/>
          <w:lang w:eastAsia="hr-HR"/>
        </w:rPr>
        <w:t>ju</w:t>
      </w:r>
      <w:r w:rsidR="00B2520F" w:rsidRPr="00C0186C">
        <w:rPr>
          <w:rFonts w:ascii="Times New Roman" w:eastAsia="Calibri" w:hAnsi="Times New Roman" w:cs="Times New Roman"/>
          <w:sz w:val="24"/>
          <w:szCs w:val="24"/>
          <w:lang w:eastAsia="hr-HR"/>
        </w:rPr>
        <w:t xml:space="preserve"> demografski potencijal temeljem kojeg se mogu potaknuti razvojni procesi, međutim visoke stope migracije te negativne stope prirodnog prirasta predstavljaju opasnost rapidne depopulacije u srednjoročnom razdoblju;</w:t>
      </w:r>
    </w:p>
    <w:p w14:paraId="6CD82FC9" w14:textId="77777777" w:rsidR="00116ECB" w:rsidRPr="00C0186C" w:rsidRDefault="00C746A1"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Vrijednosti migracijskih salda u četiri skupine PP</w:t>
      </w:r>
      <w:r w:rsidR="00342095" w:rsidRPr="00C0186C">
        <w:rPr>
          <w:rFonts w:ascii="Times New Roman" w:eastAsia="Calibri" w:hAnsi="Times New Roman" w:cs="Times New Roman"/>
          <w:sz w:val="24"/>
          <w:szCs w:val="24"/>
          <w:lang w:eastAsia="hr-HR"/>
        </w:rPr>
        <w:t>-a</w:t>
      </w:r>
      <w:r w:rsidRPr="00C0186C">
        <w:rPr>
          <w:rFonts w:ascii="Times New Roman" w:eastAsia="Calibri" w:hAnsi="Times New Roman" w:cs="Times New Roman"/>
          <w:sz w:val="24"/>
          <w:szCs w:val="24"/>
          <w:lang w:eastAsia="hr-HR"/>
        </w:rPr>
        <w:t xml:space="preserve"> potvrđuju povezanost stupnja razvijenosti i procesa iseljavanja stanovništva, a posebno je alarmantno stanje u najnižoj prvoj i drugoj razvojnoj skupini. Stoga je jasno da se buduće mjere poticanja razvoja PP moraju usmjeriti na</w:t>
      </w:r>
      <w:r w:rsidR="00526F73" w:rsidRPr="00C0186C">
        <w:rPr>
          <w:rFonts w:ascii="Times New Roman" w:eastAsia="Calibri" w:hAnsi="Times New Roman" w:cs="Times New Roman"/>
          <w:sz w:val="24"/>
          <w:szCs w:val="24"/>
          <w:lang w:eastAsia="hr-HR"/>
        </w:rPr>
        <w:t xml:space="preserve"> stvaranje uvjeta za nova radna mjesta, te izgradnju potrebne infrastrukture, s ciljem usporavanja i zaustavljanja negativnih migracijskih trendova</w:t>
      </w:r>
      <w:r w:rsidR="00116ECB" w:rsidRPr="00C0186C">
        <w:rPr>
          <w:rFonts w:ascii="Times New Roman" w:eastAsia="Calibri" w:hAnsi="Times New Roman" w:cs="Times New Roman"/>
          <w:sz w:val="24"/>
          <w:szCs w:val="24"/>
          <w:lang w:eastAsia="hr-HR"/>
        </w:rPr>
        <w:t>;</w:t>
      </w:r>
    </w:p>
    <w:p w14:paraId="3CAE3658" w14:textId="0DC8BCA4" w:rsidR="008C60AD" w:rsidRPr="00C0186C" w:rsidRDefault="00FB680E"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U</w:t>
      </w:r>
      <w:r w:rsidR="00116ECB" w:rsidRPr="00C0186C">
        <w:rPr>
          <w:rFonts w:ascii="Times New Roman" w:eastAsia="Calibri" w:hAnsi="Times New Roman" w:cs="Times New Roman"/>
          <w:sz w:val="24"/>
          <w:szCs w:val="24"/>
          <w:lang w:eastAsia="hr-HR"/>
        </w:rPr>
        <w:t xml:space="preserve">natoč pozitivnim gospodarskim kretanjima, posebno od 2015. godine te povećanjem potražnje na tržištu rada, dio radno aktivnog kontingenta još uvijek iseljava ili u razvijene </w:t>
      </w:r>
      <w:r w:rsidR="007038CF" w:rsidRPr="00C0186C">
        <w:rPr>
          <w:rFonts w:ascii="Times New Roman" w:eastAsia="Calibri" w:hAnsi="Times New Roman" w:cs="Times New Roman"/>
          <w:sz w:val="24"/>
          <w:szCs w:val="24"/>
          <w:lang w:eastAsia="hr-HR"/>
        </w:rPr>
        <w:t>JLS</w:t>
      </w:r>
      <w:r w:rsidR="00342095" w:rsidRPr="00C0186C">
        <w:rPr>
          <w:rFonts w:ascii="Times New Roman" w:eastAsia="Calibri" w:hAnsi="Times New Roman" w:cs="Times New Roman"/>
          <w:sz w:val="24"/>
          <w:szCs w:val="24"/>
          <w:lang w:eastAsia="hr-HR"/>
        </w:rPr>
        <w:t>-ove</w:t>
      </w:r>
      <w:r w:rsidR="00116ECB" w:rsidRPr="00C0186C">
        <w:rPr>
          <w:rFonts w:ascii="Times New Roman" w:eastAsia="Calibri" w:hAnsi="Times New Roman" w:cs="Times New Roman"/>
          <w:sz w:val="24"/>
          <w:szCs w:val="24"/>
          <w:lang w:eastAsia="hr-HR"/>
        </w:rPr>
        <w:t xml:space="preserve"> ili u inozemstvo. Ono što iznenađuje je negativna korelacija radnog kontingenta te udjela visokoobrazovnog stanovništva što potencijalno može značiti da se migracijski pritisci velikim dijelom upravo odnose na visokoobrazovanu populaciju te mlađi kontingent stanovništva (obrazovaniji). S obzirom na veću mobilnost mladih te izraženi problem nezaposlenosti mladih koji je prisutan na razini čitave EU, posljedična migracija mladog stanovništva ima posebno negativna demografska, gospodarska te socijalna obilježja. Važno je naglasiti da je Republika Hrvatska četvrta zemlja u EU po pokazatelju nezaposlenosti mladih u EU s udjelom od 23,8% 2018. godine, a nepovoljnije pokazatelje bilježe samo Grčka, Italija i Španjolska</w:t>
      </w:r>
      <w:r w:rsidR="00642BBB" w:rsidRPr="00C0186C">
        <w:rPr>
          <w:rFonts w:ascii="Times New Roman" w:eastAsia="Calibri" w:hAnsi="Times New Roman" w:cs="Times New Roman"/>
          <w:sz w:val="24"/>
          <w:szCs w:val="24"/>
          <w:lang w:eastAsia="hr-HR"/>
        </w:rPr>
        <w:t xml:space="preserve"> </w:t>
      </w:r>
      <w:r w:rsidR="00116ECB" w:rsidRPr="00C0186C">
        <w:rPr>
          <w:rFonts w:ascii="Times New Roman" w:eastAsia="Calibri" w:hAnsi="Times New Roman" w:cs="Times New Roman"/>
          <w:sz w:val="24"/>
          <w:szCs w:val="24"/>
          <w:lang w:eastAsia="hr-HR"/>
        </w:rPr>
        <w:footnoteReference w:id="5"/>
      </w:r>
      <w:r w:rsidR="00116ECB" w:rsidRPr="00C0186C">
        <w:rPr>
          <w:rFonts w:ascii="Times New Roman" w:eastAsia="Calibri" w:hAnsi="Times New Roman" w:cs="Times New Roman"/>
          <w:sz w:val="24"/>
          <w:szCs w:val="24"/>
          <w:lang w:eastAsia="hr-HR"/>
        </w:rPr>
        <w:t>;</w:t>
      </w:r>
    </w:p>
    <w:p w14:paraId="02679F6B" w14:textId="77777777" w:rsidR="00B2520F" w:rsidRPr="00C0186C" w:rsidRDefault="00526F73"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Udio stanovništva s visokim obrazovanjem značajno je manji na PP</w:t>
      </w:r>
      <w:r w:rsidR="00342095" w:rsidRPr="00C0186C">
        <w:rPr>
          <w:rFonts w:ascii="Times New Roman" w:eastAsia="Calibri" w:hAnsi="Times New Roman" w:cs="Times New Roman"/>
          <w:sz w:val="24"/>
          <w:szCs w:val="24"/>
          <w:lang w:eastAsia="hr-HR"/>
        </w:rPr>
        <w:t>-u</w:t>
      </w:r>
      <w:r w:rsidRPr="00C0186C">
        <w:rPr>
          <w:rFonts w:ascii="Times New Roman" w:eastAsia="Calibri" w:hAnsi="Times New Roman" w:cs="Times New Roman"/>
          <w:sz w:val="24"/>
          <w:szCs w:val="24"/>
          <w:lang w:eastAsia="hr-HR"/>
        </w:rPr>
        <w:t xml:space="preserve"> u odnosu na RH, a u prvoj razvoj</w:t>
      </w:r>
      <w:r w:rsidR="00342095" w:rsidRPr="00C0186C">
        <w:rPr>
          <w:rFonts w:ascii="Times New Roman" w:eastAsia="Calibri" w:hAnsi="Times New Roman" w:cs="Times New Roman"/>
          <w:sz w:val="24"/>
          <w:szCs w:val="24"/>
          <w:lang w:eastAsia="hr-HR"/>
        </w:rPr>
        <w:t>noj</w:t>
      </w:r>
      <w:r w:rsidRPr="00C0186C">
        <w:rPr>
          <w:rFonts w:ascii="Times New Roman" w:eastAsia="Calibri" w:hAnsi="Times New Roman" w:cs="Times New Roman"/>
          <w:sz w:val="24"/>
          <w:szCs w:val="24"/>
          <w:lang w:eastAsia="hr-HR"/>
        </w:rPr>
        <w:t xml:space="preserve"> skupini </w:t>
      </w:r>
      <w:r w:rsidR="00BA6FA9" w:rsidRPr="00C0186C">
        <w:rPr>
          <w:rFonts w:ascii="Times New Roman" w:eastAsia="Calibri" w:hAnsi="Times New Roman" w:cs="Times New Roman"/>
          <w:sz w:val="24"/>
          <w:szCs w:val="24"/>
          <w:lang w:eastAsia="hr-HR"/>
        </w:rPr>
        <w:t>više nego</w:t>
      </w:r>
      <w:r w:rsidRPr="00C0186C">
        <w:rPr>
          <w:rFonts w:ascii="Times New Roman" w:eastAsia="Calibri" w:hAnsi="Times New Roman" w:cs="Times New Roman"/>
          <w:sz w:val="24"/>
          <w:szCs w:val="24"/>
          <w:lang w:eastAsia="hr-HR"/>
        </w:rPr>
        <w:t xml:space="preserve"> dvostruko niži u odnosu na</w:t>
      </w:r>
      <w:r w:rsidR="000127D7" w:rsidRPr="00C0186C">
        <w:rPr>
          <w:rFonts w:ascii="Times New Roman" w:eastAsia="Calibri" w:hAnsi="Times New Roman" w:cs="Times New Roman"/>
          <w:sz w:val="24"/>
          <w:szCs w:val="24"/>
          <w:lang w:eastAsia="hr-HR"/>
        </w:rPr>
        <w:t xml:space="preserve"> RH. S obzirom da je obrazovanje</w:t>
      </w:r>
      <w:r w:rsidRPr="00C0186C">
        <w:rPr>
          <w:rFonts w:ascii="Times New Roman" w:eastAsia="Calibri" w:hAnsi="Times New Roman" w:cs="Times New Roman"/>
          <w:sz w:val="24"/>
          <w:szCs w:val="24"/>
          <w:lang w:eastAsia="hr-HR"/>
        </w:rPr>
        <w:t xml:space="preserve"> ključna odrednica produktivnosti, kvalitete upravljačkih kapacitet</w:t>
      </w:r>
      <w:r w:rsidR="00E75AE5" w:rsidRPr="00C0186C">
        <w:rPr>
          <w:rFonts w:ascii="Times New Roman" w:eastAsia="Calibri" w:hAnsi="Times New Roman" w:cs="Times New Roman"/>
          <w:sz w:val="24"/>
          <w:szCs w:val="24"/>
          <w:lang w:eastAsia="hr-HR"/>
        </w:rPr>
        <w:t>a</w:t>
      </w:r>
      <w:r w:rsidRPr="00C0186C">
        <w:rPr>
          <w:rFonts w:ascii="Times New Roman" w:eastAsia="Calibri" w:hAnsi="Times New Roman" w:cs="Times New Roman"/>
          <w:sz w:val="24"/>
          <w:szCs w:val="24"/>
          <w:lang w:eastAsia="hr-HR"/>
        </w:rPr>
        <w:t xml:space="preserve"> u javnom i privatnom sektoru</w:t>
      </w:r>
      <w:r w:rsidR="00E75AE5" w:rsidRPr="00C0186C">
        <w:rPr>
          <w:rFonts w:ascii="Times New Roman" w:eastAsia="Calibri" w:hAnsi="Times New Roman" w:cs="Times New Roman"/>
          <w:sz w:val="24"/>
          <w:szCs w:val="24"/>
          <w:lang w:eastAsia="hr-HR"/>
        </w:rPr>
        <w:t xml:space="preserve">, te u konačnici ukupnog rasta i razvoja ekonomije i društva, ono predstavlja i važno područje poticanja razvoja ispodprosječno razvijenih </w:t>
      </w:r>
      <w:r w:rsidR="007038CF" w:rsidRPr="00C0186C">
        <w:rPr>
          <w:rFonts w:ascii="Times New Roman" w:eastAsia="Calibri" w:hAnsi="Times New Roman" w:cs="Times New Roman"/>
          <w:sz w:val="24"/>
          <w:szCs w:val="24"/>
          <w:lang w:eastAsia="hr-HR"/>
        </w:rPr>
        <w:t>JLS</w:t>
      </w:r>
      <w:r w:rsidR="00342095" w:rsidRPr="00C0186C">
        <w:rPr>
          <w:rFonts w:ascii="Times New Roman" w:eastAsia="Calibri" w:hAnsi="Times New Roman" w:cs="Times New Roman"/>
          <w:sz w:val="24"/>
          <w:szCs w:val="24"/>
          <w:lang w:eastAsia="hr-HR"/>
        </w:rPr>
        <w:t>-ova</w:t>
      </w:r>
      <w:r w:rsidR="00E75AE5" w:rsidRPr="00C0186C">
        <w:rPr>
          <w:rFonts w:ascii="Times New Roman" w:eastAsia="Calibri" w:hAnsi="Times New Roman" w:cs="Times New Roman"/>
          <w:sz w:val="24"/>
          <w:szCs w:val="24"/>
          <w:lang w:eastAsia="hr-HR"/>
        </w:rPr>
        <w:t xml:space="preserve"> u budućem razdoblju</w:t>
      </w:r>
      <w:r w:rsidR="00B2520F" w:rsidRPr="00C0186C">
        <w:rPr>
          <w:rFonts w:ascii="Times New Roman" w:eastAsia="Calibri" w:hAnsi="Times New Roman" w:cs="Times New Roman"/>
          <w:sz w:val="24"/>
          <w:szCs w:val="24"/>
          <w:lang w:eastAsia="hr-HR"/>
        </w:rPr>
        <w:t>;</w:t>
      </w:r>
    </w:p>
    <w:p w14:paraId="5C5B905B" w14:textId="77777777" w:rsidR="00116ECB" w:rsidRPr="00C0186C" w:rsidRDefault="00F461B5"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S</w:t>
      </w:r>
      <w:r w:rsidR="00B2520F" w:rsidRPr="00C0186C">
        <w:rPr>
          <w:rFonts w:ascii="Times New Roman" w:eastAsia="Calibri" w:hAnsi="Times New Roman" w:cs="Times New Roman"/>
          <w:sz w:val="24"/>
          <w:szCs w:val="24"/>
          <w:lang w:eastAsia="hr-HR"/>
        </w:rPr>
        <w:t>v</w:t>
      </w:r>
      <w:r w:rsidR="00342095" w:rsidRPr="00C0186C">
        <w:rPr>
          <w:rFonts w:ascii="Times New Roman" w:eastAsia="Calibri" w:hAnsi="Times New Roman" w:cs="Times New Roman"/>
          <w:sz w:val="24"/>
          <w:szCs w:val="24"/>
          <w:lang w:eastAsia="hr-HR"/>
        </w:rPr>
        <w:t>i</w:t>
      </w:r>
      <w:r w:rsidR="00B2520F" w:rsidRPr="00C0186C">
        <w:rPr>
          <w:rFonts w:ascii="Times New Roman" w:eastAsia="Calibri" w:hAnsi="Times New Roman" w:cs="Times New Roman"/>
          <w:sz w:val="24"/>
          <w:szCs w:val="24"/>
          <w:lang w:eastAsia="hr-HR"/>
        </w:rPr>
        <w:t xml:space="preserve"> </w:t>
      </w:r>
      <w:r w:rsidR="007038CF" w:rsidRPr="00C0186C">
        <w:rPr>
          <w:rFonts w:ascii="Times New Roman" w:eastAsia="Calibri" w:hAnsi="Times New Roman" w:cs="Times New Roman"/>
          <w:sz w:val="24"/>
          <w:szCs w:val="24"/>
          <w:lang w:eastAsia="hr-HR"/>
        </w:rPr>
        <w:t>JLS</w:t>
      </w:r>
      <w:r w:rsidR="00342095" w:rsidRPr="00C0186C">
        <w:rPr>
          <w:rFonts w:ascii="Times New Roman" w:eastAsia="Calibri" w:hAnsi="Times New Roman" w:cs="Times New Roman"/>
          <w:sz w:val="24"/>
          <w:szCs w:val="24"/>
          <w:lang w:eastAsia="hr-HR"/>
        </w:rPr>
        <w:t>-ovi</w:t>
      </w:r>
      <w:r w:rsidR="00B2520F" w:rsidRPr="00C0186C">
        <w:rPr>
          <w:rFonts w:ascii="Times New Roman" w:eastAsia="Calibri" w:hAnsi="Times New Roman" w:cs="Times New Roman"/>
          <w:sz w:val="24"/>
          <w:szCs w:val="24"/>
          <w:lang w:eastAsia="hr-HR"/>
        </w:rPr>
        <w:t xml:space="preserve"> na prostoru potpomognutih područja karakterizira faza starenja, ne postoji niti jedna </w:t>
      </w:r>
      <w:r w:rsidR="00E45C3F" w:rsidRPr="00C0186C">
        <w:rPr>
          <w:rFonts w:ascii="Times New Roman" w:eastAsia="Calibri" w:hAnsi="Times New Roman" w:cs="Times New Roman"/>
          <w:sz w:val="24"/>
          <w:szCs w:val="24"/>
          <w:lang w:eastAsia="hr-HR"/>
        </w:rPr>
        <w:t>jedinica lokalne</w:t>
      </w:r>
      <w:r w:rsidR="00B2520F" w:rsidRPr="00C0186C">
        <w:rPr>
          <w:rFonts w:ascii="Times New Roman" w:eastAsia="Calibri" w:hAnsi="Times New Roman" w:cs="Times New Roman"/>
          <w:sz w:val="24"/>
          <w:szCs w:val="24"/>
          <w:lang w:eastAsia="hr-HR"/>
        </w:rPr>
        <w:t xml:space="preserve"> samouprav</w:t>
      </w:r>
      <w:r w:rsidR="00E45C3F" w:rsidRPr="00C0186C">
        <w:rPr>
          <w:rFonts w:ascii="Times New Roman" w:eastAsia="Calibri" w:hAnsi="Times New Roman" w:cs="Times New Roman"/>
          <w:sz w:val="24"/>
          <w:szCs w:val="24"/>
          <w:lang w:eastAsia="hr-HR"/>
        </w:rPr>
        <w:t>e</w:t>
      </w:r>
      <w:r w:rsidR="00BA6FA9" w:rsidRPr="00C0186C">
        <w:rPr>
          <w:rFonts w:ascii="Times New Roman" w:eastAsia="Calibri" w:hAnsi="Times New Roman" w:cs="Times New Roman"/>
          <w:sz w:val="24"/>
          <w:szCs w:val="24"/>
          <w:lang w:eastAsia="hr-HR"/>
        </w:rPr>
        <w:t xml:space="preserve"> s indeksom starenja ispod 40%, a</w:t>
      </w:r>
      <w:r w:rsidR="00B2520F" w:rsidRPr="00C0186C">
        <w:rPr>
          <w:rFonts w:ascii="Times New Roman" w:eastAsia="Calibri" w:hAnsi="Times New Roman" w:cs="Times New Roman"/>
          <w:sz w:val="24"/>
          <w:szCs w:val="24"/>
          <w:lang w:eastAsia="hr-HR"/>
        </w:rPr>
        <w:t xml:space="preserve"> tek 39 lokalnih samouprava bilježi vrijednost indeksa starenja ispod 100%; Vrijednosti indeksa starenja za pojedine </w:t>
      </w:r>
      <w:r w:rsidR="007038CF" w:rsidRPr="00C0186C">
        <w:rPr>
          <w:rFonts w:ascii="Times New Roman" w:eastAsia="Calibri" w:hAnsi="Times New Roman" w:cs="Times New Roman"/>
          <w:sz w:val="24"/>
          <w:szCs w:val="24"/>
          <w:lang w:eastAsia="hr-HR"/>
        </w:rPr>
        <w:t>JLS</w:t>
      </w:r>
      <w:r w:rsidR="00342095" w:rsidRPr="00C0186C">
        <w:rPr>
          <w:rFonts w:ascii="Times New Roman" w:eastAsia="Calibri" w:hAnsi="Times New Roman" w:cs="Times New Roman"/>
          <w:sz w:val="24"/>
          <w:szCs w:val="24"/>
          <w:lang w:eastAsia="hr-HR"/>
        </w:rPr>
        <w:t>-ove</w:t>
      </w:r>
      <w:r w:rsidR="00B2520F" w:rsidRPr="00C0186C">
        <w:rPr>
          <w:rFonts w:ascii="Times New Roman" w:eastAsia="Calibri" w:hAnsi="Times New Roman" w:cs="Times New Roman"/>
          <w:sz w:val="24"/>
          <w:szCs w:val="24"/>
          <w:lang w:eastAsia="hr-HR"/>
        </w:rPr>
        <w:t xml:space="preserve"> višestruko su veće od 100%, posebno u okviru prve razvojne skupine, što indicira višestruko brojnije staračko stanovništvo te ubrzano </w:t>
      </w:r>
      <w:r w:rsidR="00116ECB" w:rsidRPr="00C0186C">
        <w:rPr>
          <w:rFonts w:ascii="Times New Roman" w:eastAsia="Calibri" w:hAnsi="Times New Roman" w:cs="Times New Roman"/>
          <w:sz w:val="24"/>
          <w:szCs w:val="24"/>
          <w:lang w:eastAsia="hr-HR"/>
        </w:rPr>
        <w:t>odumiranje lokalnih samouprava;</w:t>
      </w:r>
    </w:p>
    <w:p w14:paraId="3FBDCDA6" w14:textId="77777777" w:rsidR="00116ECB" w:rsidRPr="00C0186C" w:rsidRDefault="00116ECB"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Analiza gospodarskih kapaciteta</w:t>
      </w:r>
      <w:r w:rsidR="00F461B5" w:rsidRPr="00C0186C">
        <w:rPr>
          <w:rStyle w:val="FootnoteReference"/>
          <w:rFonts w:ascii="Times New Roman" w:eastAsia="Calibri" w:hAnsi="Times New Roman" w:cs="Times New Roman"/>
          <w:sz w:val="24"/>
          <w:szCs w:val="24"/>
          <w:lang w:eastAsia="hr-HR"/>
        </w:rPr>
        <w:footnoteReference w:id="6"/>
      </w:r>
      <w:r w:rsidRPr="00C0186C">
        <w:rPr>
          <w:rFonts w:ascii="Times New Roman" w:eastAsia="Calibri" w:hAnsi="Times New Roman" w:cs="Times New Roman"/>
          <w:sz w:val="24"/>
          <w:szCs w:val="24"/>
          <w:lang w:eastAsia="hr-HR"/>
        </w:rPr>
        <w:t xml:space="preserve"> potvrdila je podudarnost opće gospodarske snage lokalnih samouprava s rezultatima rangiranja razvijenosti temeljem novog indeksa razvijenosti. Također, pokazala se asimetrija vrijednosti pokazatelja unutar pojedinih razvojnih skupina kao što je slučaj i s demografskim pokazateljima;</w:t>
      </w:r>
    </w:p>
    <w:p w14:paraId="6F873AEF" w14:textId="77777777" w:rsidR="00116ECB" w:rsidRPr="00C0186C" w:rsidRDefault="00BA6FA9"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K</w:t>
      </w:r>
      <w:r w:rsidR="00116ECB" w:rsidRPr="00C0186C">
        <w:rPr>
          <w:rFonts w:ascii="Times New Roman" w:eastAsia="Calibri" w:hAnsi="Times New Roman" w:cs="Times New Roman"/>
          <w:sz w:val="24"/>
          <w:szCs w:val="24"/>
          <w:lang w:eastAsia="hr-HR"/>
        </w:rPr>
        <w:t>ada je riječ o razvijenosti poduzetništva te ekonomskoj snazi lokalnog poduzetnika vidljiv je značajno nepovoljniji položaj prve, druge te treće razvojne skupine. Tako je, na primjer, gustoća poduzeća prosječno</w:t>
      </w:r>
      <w:r w:rsidR="00FC499C" w:rsidRPr="00C0186C">
        <w:rPr>
          <w:rFonts w:ascii="Times New Roman" w:eastAsia="Calibri" w:hAnsi="Times New Roman" w:cs="Times New Roman"/>
          <w:sz w:val="24"/>
          <w:szCs w:val="24"/>
          <w:lang w:eastAsia="hr-HR"/>
        </w:rPr>
        <w:t xml:space="preserve"> </w:t>
      </w:r>
      <w:r w:rsidR="00116ECB" w:rsidRPr="00C0186C">
        <w:rPr>
          <w:rFonts w:ascii="Times New Roman" w:eastAsia="Calibri" w:hAnsi="Times New Roman" w:cs="Times New Roman"/>
          <w:sz w:val="24"/>
          <w:szCs w:val="24"/>
          <w:lang w:eastAsia="hr-HR"/>
        </w:rPr>
        <w:t>niž</w:t>
      </w:r>
      <w:r w:rsidR="00FC499C" w:rsidRPr="00C0186C">
        <w:rPr>
          <w:rFonts w:ascii="Times New Roman" w:eastAsia="Calibri" w:hAnsi="Times New Roman" w:cs="Times New Roman"/>
          <w:sz w:val="24"/>
          <w:szCs w:val="24"/>
          <w:lang w:eastAsia="hr-HR"/>
        </w:rPr>
        <w:t>a</w:t>
      </w:r>
      <w:r w:rsidR="00116ECB" w:rsidRPr="00C0186C">
        <w:rPr>
          <w:rFonts w:ascii="Times New Roman" w:eastAsia="Calibri" w:hAnsi="Times New Roman" w:cs="Times New Roman"/>
          <w:sz w:val="24"/>
          <w:szCs w:val="24"/>
          <w:lang w:eastAsia="hr-HR"/>
        </w:rPr>
        <w:t xml:space="preserve"> gotovo tri puta, a prihod po stanovniku oko četiri puta u sve tri navedene skupine u odnosu na prosjek Republike Hrvatske. Dakle, nameće se zaključak da na razini pojedinih poduzeća nema bitnijih razlika dok je ključna razvojna divergencija po pitanju opće ekonomske razvijenosti te razvijenosti poduzetništva između tri najmanje razvijene skupine te ostalih razvijenijih skupina. Jedan dio razlika u ostvarenim prihodima sigurno je i u činjenici da su institucije javnog sektora (koji u Republici Hrvatskoj ostvaruje značajan dio bruto dodanog proizvoda) koncentrirane u razvije</w:t>
      </w:r>
      <w:r w:rsidR="000127D7" w:rsidRPr="00C0186C">
        <w:rPr>
          <w:rFonts w:ascii="Times New Roman" w:eastAsia="Calibri" w:hAnsi="Times New Roman" w:cs="Times New Roman"/>
          <w:sz w:val="24"/>
          <w:szCs w:val="24"/>
          <w:lang w:eastAsia="hr-HR"/>
        </w:rPr>
        <w:t xml:space="preserve">nijim lokalnim samoupravama što </w:t>
      </w:r>
      <w:r w:rsidR="00116ECB" w:rsidRPr="00C0186C">
        <w:rPr>
          <w:rFonts w:ascii="Times New Roman" w:eastAsia="Calibri" w:hAnsi="Times New Roman" w:cs="Times New Roman"/>
          <w:sz w:val="24"/>
          <w:szCs w:val="24"/>
          <w:lang w:eastAsia="hr-HR"/>
        </w:rPr>
        <w:t>ustvari predstavlja vrijedan resurs za ostvarivanje prihoda poduzetnika i obrtnika (kroz procese javne nabave);</w:t>
      </w:r>
    </w:p>
    <w:p w14:paraId="31ECD6AA" w14:textId="223D9DC3" w:rsidR="00116ECB" w:rsidRPr="00800082" w:rsidRDefault="00116ECB" w:rsidP="00B70EE8">
      <w:pPr>
        <w:numPr>
          <w:ilvl w:val="0"/>
          <w:numId w:val="2"/>
        </w:numPr>
        <w:spacing w:before="0" w:after="120"/>
        <w:jc w:val="both"/>
        <w:rPr>
          <w:rFonts w:ascii="Times New Roman" w:eastAsia="Calibri" w:hAnsi="Times New Roman" w:cs="Times New Roman"/>
          <w:sz w:val="24"/>
          <w:szCs w:val="24"/>
          <w:lang w:eastAsia="hr-HR"/>
        </w:rPr>
      </w:pPr>
      <w:r w:rsidRPr="00800082">
        <w:rPr>
          <w:rFonts w:ascii="Times New Roman" w:eastAsia="Calibri" w:hAnsi="Times New Roman" w:cs="Times New Roman"/>
          <w:sz w:val="24"/>
          <w:szCs w:val="24"/>
          <w:lang w:eastAsia="hr-HR"/>
        </w:rPr>
        <w:t>Moguće je da je smanjena dobit u pojedinim lokalnim samoupravama dijelom vezana i za veću konkurenciju do koje dolazi zbog većeg broja poduzeća. S druge strane, prihod po stanovniku jako je koreliran s prihodom po zaposlenom, brojem zaposlenih po poduzetniku te brojem poduzeća po stanovniku što ustvari ukazuje da je ukupna poduzetnička aktivnost zajednice puno važnija od pojedinačne efikasnosti poduzeća</w:t>
      </w:r>
    </w:p>
    <w:p w14:paraId="65F40AB4" w14:textId="399B7CF0" w:rsidR="00116ECB" w:rsidRPr="00C0186C" w:rsidRDefault="00116ECB" w:rsidP="00B70EE8">
      <w:pPr>
        <w:numPr>
          <w:ilvl w:val="0"/>
          <w:numId w:val="2"/>
        </w:numPr>
        <w:spacing w:before="0" w:after="12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lang w:eastAsia="hr-HR"/>
        </w:rPr>
        <w:t xml:space="preserve">Posebno je zanimljivo da u prvoj razvojnoj skupini postoje </w:t>
      </w:r>
      <w:r w:rsidR="007038CF" w:rsidRPr="00C0186C">
        <w:rPr>
          <w:rFonts w:ascii="Times New Roman" w:eastAsia="Calibri" w:hAnsi="Times New Roman" w:cs="Times New Roman"/>
          <w:sz w:val="24"/>
          <w:szCs w:val="24"/>
          <w:lang w:eastAsia="hr-HR"/>
        </w:rPr>
        <w:t>JLS</w:t>
      </w:r>
      <w:r w:rsidR="00FC499C" w:rsidRPr="00C0186C">
        <w:rPr>
          <w:rFonts w:ascii="Times New Roman" w:eastAsia="Calibri" w:hAnsi="Times New Roman" w:cs="Times New Roman"/>
          <w:sz w:val="24"/>
          <w:szCs w:val="24"/>
          <w:lang w:eastAsia="hr-HR"/>
        </w:rPr>
        <w:t>-ovi</w:t>
      </w:r>
      <w:r w:rsidRPr="00C0186C">
        <w:rPr>
          <w:rFonts w:ascii="Times New Roman" w:eastAsia="Calibri" w:hAnsi="Times New Roman" w:cs="Times New Roman"/>
          <w:sz w:val="24"/>
          <w:szCs w:val="24"/>
          <w:lang w:eastAsia="hr-HR"/>
        </w:rPr>
        <w:t xml:space="preserve"> gdje su svi poduzetnici profitabilni kao i on</w:t>
      </w:r>
      <w:r w:rsidR="00FC499C" w:rsidRPr="00C0186C">
        <w:rPr>
          <w:rFonts w:ascii="Times New Roman" w:eastAsia="Calibri" w:hAnsi="Times New Roman" w:cs="Times New Roman"/>
          <w:sz w:val="24"/>
          <w:szCs w:val="24"/>
          <w:lang w:eastAsia="hr-HR"/>
        </w:rPr>
        <w:t>i</w:t>
      </w:r>
      <w:r w:rsidRPr="00C0186C">
        <w:rPr>
          <w:rFonts w:ascii="Times New Roman" w:eastAsia="Calibri" w:hAnsi="Times New Roman" w:cs="Times New Roman"/>
          <w:sz w:val="24"/>
          <w:szCs w:val="24"/>
          <w:lang w:eastAsia="hr-HR"/>
        </w:rPr>
        <w:t xml:space="preserve"> </w:t>
      </w:r>
      <w:r w:rsidR="007038CF" w:rsidRPr="00C0186C">
        <w:rPr>
          <w:rFonts w:ascii="Times New Roman" w:eastAsia="Calibri" w:hAnsi="Times New Roman" w:cs="Times New Roman"/>
          <w:sz w:val="24"/>
          <w:szCs w:val="24"/>
          <w:lang w:eastAsia="hr-HR"/>
        </w:rPr>
        <w:t>JLS</w:t>
      </w:r>
      <w:r w:rsidR="00FC499C" w:rsidRPr="00C0186C">
        <w:rPr>
          <w:rFonts w:ascii="Times New Roman" w:eastAsia="Calibri" w:hAnsi="Times New Roman" w:cs="Times New Roman"/>
          <w:sz w:val="24"/>
          <w:szCs w:val="24"/>
          <w:lang w:eastAsia="hr-HR"/>
        </w:rPr>
        <w:t xml:space="preserve">-ovi </w:t>
      </w:r>
      <w:r w:rsidRPr="00C0186C">
        <w:rPr>
          <w:rFonts w:ascii="Times New Roman" w:eastAsia="Calibri" w:hAnsi="Times New Roman" w:cs="Times New Roman"/>
          <w:sz w:val="24"/>
          <w:szCs w:val="24"/>
          <w:lang w:eastAsia="hr-HR"/>
        </w:rPr>
        <w:t xml:space="preserve">sa udjelom </w:t>
      </w:r>
      <w:proofErr w:type="spellStart"/>
      <w:r w:rsidRPr="00C0186C">
        <w:rPr>
          <w:rFonts w:ascii="Times New Roman" w:eastAsia="Calibri" w:hAnsi="Times New Roman" w:cs="Times New Roman"/>
          <w:sz w:val="24"/>
          <w:szCs w:val="24"/>
          <w:lang w:eastAsia="hr-HR"/>
        </w:rPr>
        <w:t>dobitaša</w:t>
      </w:r>
      <w:proofErr w:type="spellEnd"/>
      <w:r w:rsidRPr="00C0186C">
        <w:rPr>
          <w:rFonts w:ascii="Times New Roman" w:eastAsia="Calibri" w:hAnsi="Times New Roman" w:cs="Times New Roman"/>
          <w:sz w:val="24"/>
          <w:szCs w:val="24"/>
          <w:lang w:eastAsia="hr-HR"/>
        </w:rPr>
        <w:t xml:space="preserve"> od 33%. Međutim ,treba imati na umu da se radi o općinama sa iznimno malim brojem poduzetnika. Stoga, izostaju i značajniji učinci poduzetnika na području istih lokalnih samouprava budući da ih karakterizira i mali broj zaposlenih. </w:t>
      </w:r>
    </w:p>
    <w:p w14:paraId="5E4B7826" w14:textId="7574CB53" w:rsidR="00116ECB" w:rsidRPr="00C0186C" w:rsidRDefault="00116ECB"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Analiza ukazuje na niži prosječan broj zaposlenih po poduzetniku u tri najslabije razvijene skupine lokalnih samouprava. Međutim, iznenađuje znatno veći prosječan broj zaposlenih po poduzetniku u četvrtoj razvojnoj skupini čija vrijednost prelazi prosjek Republike Hrvatske. Broj zaposlenih po poduzetniku važan je pokazatelj koji indicira konkurentnost određenog poduzeća te zajednice na lokalnom i širem tržištu. Naime, iako mala i srednja poduzeća čine 99% ukupnog broja poduzeća, mala poduzeća suočavaju se s puno većim izazovima zbog nepovoljnijih financijskih uvjeta, viših fiksnih troškova poslovanja, otežanom pristupu logističkim i distribucijskim mrežama itd. Stoga, ovako nizak broj zaposlenih po poduzetniku označava slabiju konkurentnost ne samo pojedinih poduzeća već i lokalnog gospodarstva;</w:t>
      </w:r>
    </w:p>
    <w:p w14:paraId="104D4511" w14:textId="77777777" w:rsidR="003656BE" w:rsidRPr="00C0186C" w:rsidRDefault="003656BE" w:rsidP="00B70EE8">
      <w:pPr>
        <w:numPr>
          <w:ilvl w:val="0"/>
          <w:numId w:val="2"/>
        </w:numPr>
        <w:spacing w:before="0" w:after="12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lang w:eastAsia="hr-HR"/>
        </w:rPr>
        <w:t>Analiz</w:t>
      </w:r>
      <w:r w:rsidR="00642BBB" w:rsidRPr="00C0186C">
        <w:rPr>
          <w:rFonts w:ascii="Times New Roman" w:eastAsia="Calibri" w:hAnsi="Times New Roman" w:cs="Times New Roman"/>
          <w:sz w:val="24"/>
          <w:szCs w:val="24"/>
          <w:lang w:eastAsia="hr-HR"/>
        </w:rPr>
        <w:t>om</w:t>
      </w:r>
      <w:r w:rsidRPr="00C0186C">
        <w:rPr>
          <w:rFonts w:ascii="Times New Roman" w:eastAsia="Calibri" w:hAnsi="Times New Roman" w:cs="Times New Roman"/>
          <w:sz w:val="24"/>
          <w:szCs w:val="24"/>
          <w:lang w:eastAsia="hr-HR"/>
        </w:rPr>
        <w:t xml:space="preserve"> je utvrđeno da je prihod poduzetništva po stanovniku u prosjeku desetorostruko veći od primitaka obrtnika u lokalnim samoupravama, što znači da je u pravilu, obrtnička aktivnost ipak zanemariva u smislu ukupnih učinaka na gospodarsku aktivnost pojedinih lokalnih samouprava;</w:t>
      </w:r>
    </w:p>
    <w:p w14:paraId="7F5F48EE" w14:textId="77777777" w:rsidR="00F52E98" w:rsidRPr="00C0186C" w:rsidRDefault="00F52E98"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Pokazatelji tržišta rada</w:t>
      </w:r>
      <w:r w:rsidR="00F461B5" w:rsidRPr="00C0186C">
        <w:rPr>
          <w:rStyle w:val="FootnoteReference"/>
          <w:rFonts w:ascii="Times New Roman" w:eastAsia="Calibri" w:hAnsi="Times New Roman" w:cs="Times New Roman"/>
          <w:sz w:val="24"/>
          <w:szCs w:val="24"/>
          <w:lang w:eastAsia="hr-HR"/>
        </w:rPr>
        <w:footnoteReference w:id="7"/>
      </w:r>
      <w:r w:rsidRPr="00C0186C">
        <w:rPr>
          <w:rFonts w:ascii="Times New Roman" w:eastAsia="Calibri" w:hAnsi="Times New Roman" w:cs="Times New Roman"/>
          <w:sz w:val="24"/>
          <w:szCs w:val="24"/>
          <w:lang w:eastAsia="hr-HR"/>
        </w:rPr>
        <w:t xml:space="preserve"> ukazuju na činjenicu da je zaostajanje Republike Hrvatske u odnosu na zemlje Europske unije </w:t>
      </w:r>
      <w:r w:rsidR="00BA6FA9" w:rsidRPr="00C0186C">
        <w:rPr>
          <w:rFonts w:ascii="Times New Roman" w:eastAsia="Calibri" w:hAnsi="Times New Roman" w:cs="Times New Roman"/>
          <w:sz w:val="24"/>
          <w:szCs w:val="24"/>
          <w:lang w:eastAsia="hr-HR"/>
        </w:rPr>
        <w:t>vezano</w:t>
      </w:r>
      <w:r w:rsidRPr="00C0186C">
        <w:rPr>
          <w:rFonts w:ascii="Times New Roman" w:eastAsia="Calibri" w:hAnsi="Times New Roman" w:cs="Times New Roman"/>
          <w:sz w:val="24"/>
          <w:szCs w:val="24"/>
          <w:lang w:eastAsia="hr-HR"/>
        </w:rPr>
        <w:t xml:space="preserve"> za strukturne probleme tržišta rada koji dovode do visoke razine udjela nezaposlenosti mladih u ukupnoj nezaposlenosti, visoke razine dugoročne nezaposlenosti stanovništva, niske razine iskorištenosti radnog kontingenta te općenito visoke razine stope nezaposlenosti</w:t>
      </w:r>
      <w:r w:rsidR="00161D58" w:rsidRPr="00C0186C">
        <w:rPr>
          <w:rFonts w:ascii="Times New Roman" w:eastAsia="Calibri" w:hAnsi="Times New Roman" w:cs="Times New Roman"/>
          <w:sz w:val="24"/>
          <w:szCs w:val="24"/>
          <w:lang w:eastAsia="hr-HR"/>
        </w:rPr>
        <w:t>,</w:t>
      </w:r>
      <w:r w:rsidRPr="00C0186C">
        <w:rPr>
          <w:rFonts w:ascii="Times New Roman" w:eastAsia="Calibri" w:hAnsi="Times New Roman" w:cs="Times New Roman"/>
          <w:sz w:val="24"/>
          <w:szCs w:val="24"/>
          <w:lang w:eastAsia="hr-HR"/>
        </w:rPr>
        <w:t xml:space="preserve"> dodatno</w:t>
      </w:r>
      <w:r w:rsidR="00FC499C" w:rsidRPr="00C0186C">
        <w:rPr>
          <w:rFonts w:ascii="Times New Roman" w:eastAsia="Calibri" w:hAnsi="Times New Roman" w:cs="Times New Roman"/>
          <w:sz w:val="24"/>
          <w:szCs w:val="24"/>
          <w:lang w:eastAsia="hr-HR"/>
        </w:rPr>
        <w:t xml:space="preserve"> je</w:t>
      </w:r>
      <w:r w:rsidRPr="00C0186C">
        <w:rPr>
          <w:rFonts w:ascii="Times New Roman" w:eastAsia="Calibri" w:hAnsi="Times New Roman" w:cs="Times New Roman"/>
          <w:sz w:val="24"/>
          <w:szCs w:val="24"/>
          <w:lang w:eastAsia="hr-HR"/>
        </w:rPr>
        <w:t xml:space="preserve"> intenzivirano na slabije razvijenim područjima lokalnih samouprava potpomognutog područja;</w:t>
      </w:r>
    </w:p>
    <w:p w14:paraId="057DD5AA" w14:textId="77777777" w:rsidR="00E600C3" w:rsidRPr="00C0186C" w:rsidRDefault="00E600C3"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Nezaposlenost mladih jedan je od ključnih ne samo gospodarskih već i demografskih problema. Manjak mjera ili manjak efikasnosti dovodi do migracija te niske razine prirodnog prirasta stanovnika te u zadnjoj fazi dolazi do ubrzane depopulacije prostora te posljedičnog smanjenja udjela mladih u ukupnoj nezaposlenosti zbog smanjenja kontingenta mladih u okviru radno aktivne populacije;</w:t>
      </w:r>
    </w:p>
    <w:p w14:paraId="477A9055" w14:textId="77777777" w:rsidR="00E600C3" w:rsidRPr="00C0186C" w:rsidRDefault="00E600C3"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 xml:space="preserve">Može se istaknuti izuzetno nepovoljna razina nezaposlenosti u okviru prve i druge razvojne skupine koje su na razini stopa nezaposlenosti u zemljama Europske unije koje su u vrijeme ekonomsko-financijske krize bilježile najveće gospodarske probleme. Usporedna analiza pokazatelja ukazuje na značajno zaostajanje tržišta rada Republike Hrvatske za zemljama Europske unije. Navedeno zaostajanje dodatno se asimetrično prelijeva na nerazvijene </w:t>
      </w:r>
      <w:r w:rsidR="007038CF" w:rsidRPr="00C0186C">
        <w:rPr>
          <w:rFonts w:ascii="Times New Roman" w:eastAsia="Calibri" w:hAnsi="Times New Roman" w:cs="Times New Roman"/>
          <w:sz w:val="24"/>
          <w:szCs w:val="24"/>
          <w:lang w:eastAsia="hr-HR"/>
        </w:rPr>
        <w:t>JLS</w:t>
      </w:r>
      <w:r w:rsidR="00595CA2" w:rsidRPr="00C0186C">
        <w:rPr>
          <w:rFonts w:ascii="Times New Roman" w:eastAsia="Calibri" w:hAnsi="Times New Roman" w:cs="Times New Roman"/>
          <w:sz w:val="24"/>
          <w:szCs w:val="24"/>
          <w:lang w:eastAsia="hr-HR"/>
        </w:rPr>
        <w:t>-ove</w:t>
      </w:r>
      <w:r w:rsidRPr="00C0186C">
        <w:rPr>
          <w:rFonts w:ascii="Times New Roman" w:eastAsia="Calibri" w:hAnsi="Times New Roman" w:cs="Times New Roman"/>
          <w:sz w:val="24"/>
          <w:szCs w:val="24"/>
          <w:lang w:eastAsia="hr-HR"/>
        </w:rPr>
        <w:t>. Stoga se problem (ne)zaposlenosti nameće ne samo kao ključan za poticanje razvoja potpomognutih područja već i za ključne ciljeve nacionalne razvojne politike</w:t>
      </w:r>
      <w:r w:rsidR="002432E3" w:rsidRPr="00C0186C">
        <w:rPr>
          <w:rFonts w:ascii="Times New Roman" w:eastAsia="Calibri" w:hAnsi="Times New Roman" w:cs="Times New Roman"/>
          <w:sz w:val="24"/>
          <w:szCs w:val="24"/>
          <w:lang w:eastAsia="hr-HR"/>
        </w:rPr>
        <w:t>. U razdoblju od 2015. do 2019. godine stopa nezaposlenosti u nerazvijenim JLS</w:t>
      </w:r>
      <w:r w:rsidR="00595CA2" w:rsidRPr="00C0186C">
        <w:rPr>
          <w:rFonts w:ascii="Times New Roman" w:eastAsia="Calibri" w:hAnsi="Times New Roman" w:cs="Times New Roman"/>
          <w:sz w:val="24"/>
          <w:szCs w:val="24"/>
          <w:lang w:eastAsia="hr-HR"/>
        </w:rPr>
        <w:t>-ovima</w:t>
      </w:r>
      <w:r w:rsidR="002432E3" w:rsidRPr="00C0186C">
        <w:rPr>
          <w:rFonts w:ascii="Times New Roman" w:eastAsia="Calibri" w:hAnsi="Times New Roman" w:cs="Times New Roman"/>
          <w:sz w:val="24"/>
          <w:szCs w:val="24"/>
          <w:lang w:eastAsia="hr-HR"/>
        </w:rPr>
        <w:t xml:space="preserve"> značajno se smanjila te je bilježila značajno veće prosječno smanjenje u odnosu na prosjek Republike Hrvatske, međutim, još uvijek nije na zadovoljavajućoj razini;</w:t>
      </w:r>
    </w:p>
    <w:p w14:paraId="43FFE1D9" w14:textId="77777777" w:rsidR="00E600C3" w:rsidRPr="00C0186C" w:rsidRDefault="00E600C3" w:rsidP="00B70EE8">
      <w:pPr>
        <w:numPr>
          <w:ilvl w:val="0"/>
          <w:numId w:val="2"/>
        </w:numPr>
        <w:spacing w:before="0" w:after="12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lang w:eastAsia="hr-HR"/>
        </w:rPr>
        <w:t>Može se uočiti da je jedna od temeljnih determinanti niske stope zaposlenosti, odnosno visoke stope nezaposlenosti, dugotrajna nezaposlenost. Dakle, i ovdje se potvrđuju teze o strukturnim problemima tržišta rada. Stoga se i nameće pitanje o programima cjeloživotnog obrazovanja te prekvalifikacije kako bi se ispravili takvi poremećaji. Međutim, i u ovom slučaju Republika Hrvatska nalazi se na začelju Europske unije te jedino Rumunjska bilježi nepovoljnije pokazatelj;</w:t>
      </w:r>
    </w:p>
    <w:p w14:paraId="4A881AEC" w14:textId="77777777" w:rsidR="00E600C3" w:rsidRPr="00C0186C" w:rsidRDefault="00642BBB" w:rsidP="00B70EE8">
      <w:pPr>
        <w:numPr>
          <w:ilvl w:val="0"/>
          <w:numId w:val="2"/>
        </w:numPr>
        <w:spacing w:before="0" w:after="12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lang w:eastAsia="hr-HR"/>
        </w:rPr>
        <w:t>N</w:t>
      </w:r>
      <w:r w:rsidR="00E600C3" w:rsidRPr="00C0186C">
        <w:rPr>
          <w:rFonts w:ascii="Times New Roman" w:eastAsia="Calibri" w:hAnsi="Times New Roman" w:cs="Times New Roman"/>
          <w:sz w:val="24"/>
          <w:szCs w:val="24"/>
          <w:lang w:eastAsia="hr-HR"/>
        </w:rPr>
        <w:t xml:space="preserve">adalje, prva razvojna skupina ističe se po gotovo dvostruko višoj prosječnoj stopi nezaposlenosti u odnosu na prosjek Republike Hrvatske. Stanje na razini treće i četvrte razvojne skupine u okviru je prosjeka, ali treba napomenuti da se i dalje radi o izrazito visokoj nepovoljnoj vrijednosti pokazatelja. Korelacija stope nezaposlenosti s migracijom stanovništva koja se pokazala u okviru dinamičke analize u prvom dijelu studije ukazuje da je upravo rješavanje problema visoke stope nezaposlenosti ključan odgovor i na zaustavljanje nepovoljnih demografskih kretanja Također, kao i do sada, može se vidjeti izražena heterogenost i ovog pokazatelja u okviru pojedinih razvojnih skupina. </w:t>
      </w:r>
      <w:r w:rsidR="008704CD" w:rsidRPr="00C0186C">
        <w:rPr>
          <w:rFonts w:ascii="Times New Roman" w:eastAsia="Calibri" w:hAnsi="Times New Roman" w:cs="Times New Roman"/>
          <w:sz w:val="24"/>
          <w:szCs w:val="24"/>
          <w:lang w:eastAsia="hr-HR"/>
        </w:rPr>
        <w:t>P</w:t>
      </w:r>
      <w:r w:rsidR="00E600C3" w:rsidRPr="00C0186C">
        <w:rPr>
          <w:rFonts w:ascii="Times New Roman" w:eastAsia="Calibri" w:hAnsi="Times New Roman" w:cs="Times New Roman"/>
          <w:sz w:val="24"/>
          <w:szCs w:val="24"/>
          <w:lang w:eastAsia="hr-HR"/>
        </w:rPr>
        <w:t>roblem nezaposlenosti posebno</w:t>
      </w:r>
      <w:r w:rsidR="00595CA2" w:rsidRPr="00C0186C">
        <w:rPr>
          <w:rFonts w:ascii="Times New Roman" w:eastAsia="Calibri" w:hAnsi="Times New Roman" w:cs="Times New Roman"/>
          <w:sz w:val="24"/>
          <w:szCs w:val="24"/>
          <w:lang w:eastAsia="hr-HR"/>
        </w:rPr>
        <w:t xml:space="preserve"> je</w:t>
      </w:r>
      <w:r w:rsidR="00E600C3" w:rsidRPr="00C0186C">
        <w:rPr>
          <w:rFonts w:ascii="Times New Roman" w:eastAsia="Calibri" w:hAnsi="Times New Roman" w:cs="Times New Roman"/>
          <w:sz w:val="24"/>
          <w:szCs w:val="24"/>
          <w:lang w:eastAsia="hr-HR"/>
        </w:rPr>
        <w:t xml:space="preserve"> izražen za prvu i drugu razvojnu skup</w:t>
      </w:r>
      <w:r w:rsidR="008704CD" w:rsidRPr="00C0186C">
        <w:rPr>
          <w:rFonts w:ascii="Times New Roman" w:eastAsia="Calibri" w:hAnsi="Times New Roman" w:cs="Times New Roman"/>
          <w:sz w:val="24"/>
          <w:szCs w:val="24"/>
          <w:lang w:eastAsia="hr-HR"/>
        </w:rPr>
        <w:t>inu</w:t>
      </w:r>
      <w:r w:rsidR="00E600C3" w:rsidRPr="00C0186C">
        <w:rPr>
          <w:rFonts w:ascii="Times New Roman" w:eastAsia="Calibri" w:hAnsi="Times New Roman" w:cs="Times New Roman"/>
          <w:sz w:val="24"/>
          <w:szCs w:val="24"/>
          <w:lang w:eastAsia="hr-HR"/>
        </w:rPr>
        <w:t xml:space="preserve"> te </w:t>
      </w:r>
      <w:r w:rsidR="00595CA2" w:rsidRPr="00C0186C">
        <w:rPr>
          <w:rFonts w:ascii="Times New Roman" w:eastAsia="Calibri" w:hAnsi="Times New Roman" w:cs="Times New Roman"/>
          <w:sz w:val="24"/>
          <w:szCs w:val="24"/>
          <w:lang w:eastAsia="hr-HR"/>
        </w:rPr>
        <w:t xml:space="preserve">za </w:t>
      </w:r>
      <w:r w:rsidR="00E600C3" w:rsidRPr="00C0186C">
        <w:rPr>
          <w:rFonts w:ascii="Times New Roman" w:eastAsia="Calibri" w:hAnsi="Times New Roman" w:cs="Times New Roman"/>
          <w:sz w:val="24"/>
          <w:szCs w:val="24"/>
          <w:lang w:eastAsia="hr-HR"/>
        </w:rPr>
        <w:t>tek manji dio lokalnih samouprava treće i četvrte skupine;</w:t>
      </w:r>
    </w:p>
    <w:p w14:paraId="627DA873" w14:textId="77777777" w:rsidR="00FB680E" w:rsidRPr="00C0186C" w:rsidRDefault="00E600C3"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Analiza fiskalnih i socijalnih kapaciteta</w:t>
      </w:r>
      <w:r w:rsidR="00F461B5" w:rsidRPr="00C0186C">
        <w:rPr>
          <w:rStyle w:val="FootnoteReference"/>
          <w:rFonts w:ascii="Times New Roman" w:eastAsia="Calibri" w:hAnsi="Times New Roman" w:cs="Times New Roman"/>
          <w:sz w:val="24"/>
          <w:szCs w:val="24"/>
          <w:lang w:eastAsia="hr-HR"/>
        </w:rPr>
        <w:footnoteReference w:id="8"/>
      </w:r>
      <w:r w:rsidRPr="00C0186C">
        <w:rPr>
          <w:rFonts w:ascii="Times New Roman" w:eastAsia="Calibri" w:hAnsi="Times New Roman" w:cs="Times New Roman"/>
          <w:sz w:val="24"/>
          <w:szCs w:val="24"/>
          <w:lang w:eastAsia="hr-HR"/>
        </w:rPr>
        <w:t xml:space="preserve"> </w:t>
      </w:r>
      <w:r w:rsidR="00FB680E" w:rsidRPr="00C0186C">
        <w:rPr>
          <w:rFonts w:ascii="Times New Roman" w:eastAsia="Calibri" w:hAnsi="Times New Roman" w:cs="Times New Roman"/>
          <w:sz w:val="24"/>
          <w:szCs w:val="24"/>
          <w:lang w:eastAsia="hr-HR"/>
        </w:rPr>
        <w:t>također ukazuje na jasnu</w:t>
      </w:r>
      <w:r w:rsidR="00BA6FA9" w:rsidRPr="00C0186C">
        <w:rPr>
          <w:rFonts w:ascii="Times New Roman" w:eastAsia="Calibri" w:hAnsi="Times New Roman" w:cs="Times New Roman"/>
          <w:sz w:val="24"/>
          <w:szCs w:val="24"/>
          <w:lang w:eastAsia="hr-HR"/>
        </w:rPr>
        <w:t xml:space="preserve"> uzročno-posljedičnu</w:t>
      </w:r>
      <w:r w:rsidR="00FB680E" w:rsidRPr="00C0186C">
        <w:rPr>
          <w:rFonts w:ascii="Times New Roman" w:eastAsia="Calibri" w:hAnsi="Times New Roman" w:cs="Times New Roman"/>
          <w:sz w:val="24"/>
          <w:szCs w:val="24"/>
          <w:lang w:eastAsia="hr-HR"/>
        </w:rPr>
        <w:t xml:space="preserve"> povezanost nepovoljne demografske strukture te fiskalnih </w:t>
      </w:r>
      <w:r w:rsidR="00595CA2" w:rsidRPr="00C0186C">
        <w:rPr>
          <w:rFonts w:ascii="Times New Roman" w:eastAsia="Calibri" w:hAnsi="Times New Roman" w:cs="Times New Roman"/>
          <w:sz w:val="24"/>
          <w:szCs w:val="24"/>
          <w:lang w:eastAsia="hr-HR"/>
        </w:rPr>
        <w:t>i</w:t>
      </w:r>
      <w:r w:rsidR="00FB680E" w:rsidRPr="00C0186C">
        <w:rPr>
          <w:rFonts w:ascii="Times New Roman" w:eastAsia="Calibri" w:hAnsi="Times New Roman" w:cs="Times New Roman"/>
          <w:sz w:val="24"/>
          <w:szCs w:val="24"/>
          <w:lang w:eastAsia="hr-HR"/>
        </w:rPr>
        <w:t xml:space="preserve"> socijalnih kretanja. Visok udio staračkog kontingenta u ukupnoj populaciji determinira niske dohotke te nisku razinu fiskalnog kapaciteta lokalnih samouprava. Pokazuje se da mehanizmi fiskalnog izravnanja samo djelomično dovode do poboljšanja opće fiskalne slike, ali to nije slučaj za sve </w:t>
      </w:r>
      <w:r w:rsidR="007038CF" w:rsidRPr="00C0186C">
        <w:rPr>
          <w:rFonts w:ascii="Times New Roman" w:eastAsia="Calibri" w:hAnsi="Times New Roman" w:cs="Times New Roman"/>
          <w:sz w:val="24"/>
          <w:szCs w:val="24"/>
          <w:lang w:eastAsia="hr-HR"/>
        </w:rPr>
        <w:t>JLS</w:t>
      </w:r>
      <w:r w:rsidR="00595CA2" w:rsidRPr="00C0186C">
        <w:rPr>
          <w:rFonts w:ascii="Times New Roman" w:eastAsia="Calibri" w:hAnsi="Times New Roman" w:cs="Times New Roman"/>
          <w:sz w:val="24"/>
          <w:szCs w:val="24"/>
          <w:lang w:eastAsia="hr-HR"/>
        </w:rPr>
        <w:t>-ove</w:t>
      </w:r>
      <w:r w:rsidR="00FB680E" w:rsidRPr="00C0186C">
        <w:rPr>
          <w:rFonts w:ascii="Times New Roman" w:eastAsia="Calibri" w:hAnsi="Times New Roman" w:cs="Times New Roman"/>
          <w:sz w:val="24"/>
          <w:szCs w:val="24"/>
          <w:lang w:eastAsia="hr-HR"/>
        </w:rPr>
        <w:t xml:space="preserve"> s obzirom da se fiskalna raspodjela i dalje dominantno zasniva na pojedinačnom fiskalnom kapacitetu </w:t>
      </w:r>
      <w:r w:rsidR="007038CF" w:rsidRPr="00C0186C">
        <w:rPr>
          <w:rFonts w:ascii="Times New Roman" w:eastAsia="Calibri" w:hAnsi="Times New Roman" w:cs="Times New Roman"/>
          <w:sz w:val="24"/>
          <w:szCs w:val="24"/>
          <w:lang w:eastAsia="hr-HR"/>
        </w:rPr>
        <w:t>JLS</w:t>
      </w:r>
      <w:r w:rsidR="00595CA2" w:rsidRPr="00C0186C">
        <w:rPr>
          <w:rFonts w:ascii="Times New Roman" w:eastAsia="Calibri" w:hAnsi="Times New Roman" w:cs="Times New Roman"/>
          <w:sz w:val="24"/>
          <w:szCs w:val="24"/>
          <w:lang w:eastAsia="hr-HR"/>
        </w:rPr>
        <w:t>-a</w:t>
      </w:r>
      <w:r w:rsidR="00FB680E" w:rsidRPr="00C0186C">
        <w:rPr>
          <w:rFonts w:ascii="Times New Roman" w:eastAsia="Calibri" w:hAnsi="Times New Roman" w:cs="Times New Roman"/>
          <w:sz w:val="24"/>
          <w:szCs w:val="24"/>
          <w:lang w:eastAsia="hr-HR"/>
        </w:rPr>
        <w:t>;</w:t>
      </w:r>
    </w:p>
    <w:p w14:paraId="09B42005" w14:textId="77777777" w:rsidR="00FB680E" w:rsidRPr="00C0186C" w:rsidRDefault="008704CD"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 xml:space="preserve">U razdoblju od 2015. do 2019. godine </w:t>
      </w:r>
      <w:r w:rsidR="00FB680E" w:rsidRPr="00C0186C">
        <w:rPr>
          <w:rFonts w:ascii="Times New Roman" w:eastAsia="Calibri" w:hAnsi="Times New Roman" w:cs="Times New Roman"/>
          <w:sz w:val="24"/>
          <w:szCs w:val="24"/>
          <w:lang w:eastAsia="hr-HR"/>
        </w:rPr>
        <w:t>nepovoljan fiskalni položaj prve</w:t>
      </w:r>
      <w:r w:rsidRPr="00C0186C">
        <w:rPr>
          <w:rFonts w:ascii="Times New Roman" w:eastAsia="Calibri" w:hAnsi="Times New Roman" w:cs="Times New Roman"/>
          <w:sz w:val="24"/>
          <w:szCs w:val="24"/>
          <w:lang w:eastAsia="hr-HR"/>
        </w:rPr>
        <w:t xml:space="preserve"> i </w:t>
      </w:r>
      <w:r w:rsidR="00FB680E" w:rsidRPr="00C0186C">
        <w:rPr>
          <w:rFonts w:ascii="Times New Roman" w:eastAsia="Calibri" w:hAnsi="Times New Roman" w:cs="Times New Roman"/>
          <w:sz w:val="24"/>
          <w:szCs w:val="24"/>
          <w:lang w:eastAsia="hr-HR"/>
        </w:rPr>
        <w:t>druge razvojne skupine u odnosu na nacionalni prosjek</w:t>
      </w:r>
      <w:r w:rsidRPr="00C0186C">
        <w:rPr>
          <w:rFonts w:ascii="Times New Roman" w:eastAsia="Calibri" w:hAnsi="Times New Roman" w:cs="Times New Roman"/>
          <w:sz w:val="24"/>
          <w:szCs w:val="24"/>
          <w:lang w:eastAsia="hr-HR"/>
        </w:rPr>
        <w:t xml:space="preserve"> te ostale razvojne skupine potpomognutih područja značajno se poboljšao. Tome je zasigurno značajno pridonijela </w:t>
      </w:r>
      <w:r w:rsidR="00FB680E" w:rsidRPr="00C0186C">
        <w:rPr>
          <w:rFonts w:ascii="Times New Roman" w:eastAsia="Calibri" w:hAnsi="Times New Roman" w:cs="Times New Roman"/>
          <w:sz w:val="24"/>
          <w:szCs w:val="24"/>
          <w:lang w:eastAsia="hr-HR"/>
        </w:rPr>
        <w:t xml:space="preserve">reforma sustava fiskalnog izravnanja </w:t>
      </w:r>
      <w:r w:rsidRPr="00C0186C">
        <w:rPr>
          <w:rFonts w:ascii="Times New Roman" w:eastAsia="Calibri" w:hAnsi="Times New Roman" w:cs="Times New Roman"/>
          <w:sz w:val="24"/>
          <w:szCs w:val="24"/>
          <w:lang w:eastAsia="hr-HR"/>
        </w:rPr>
        <w:t>od 2018. godine</w:t>
      </w:r>
      <w:r w:rsidR="00FB680E" w:rsidRPr="00C0186C">
        <w:rPr>
          <w:rFonts w:ascii="Times New Roman" w:eastAsia="Calibri" w:hAnsi="Times New Roman" w:cs="Times New Roman"/>
          <w:sz w:val="24"/>
          <w:szCs w:val="24"/>
          <w:lang w:eastAsia="hr-HR"/>
        </w:rPr>
        <w:t>, ali s obzirom da se temelji na raspodjeli prihoda od poreza na dohodak te ne uključuje ostale važne izvore prihoda (komunalne naknade i doprinose) ima ograničene učinke;</w:t>
      </w:r>
    </w:p>
    <w:p w14:paraId="5E3D03EE" w14:textId="77777777" w:rsidR="00FB680E" w:rsidRPr="00C0186C" w:rsidRDefault="008F7BE7" w:rsidP="00B70EE8">
      <w:pPr>
        <w:numPr>
          <w:ilvl w:val="0"/>
          <w:numId w:val="2"/>
        </w:numPr>
        <w:spacing w:before="0" w:after="12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lang w:eastAsia="hr-HR"/>
        </w:rPr>
        <w:t>R</w:t>
      </w:r>
      <w:r w:rsidR="00FB680E" w:rsidRPr="00C0186C">
        <w:rPr>
          <w:rFonts w:ascii="Times New Roman" w:eastAsia="Calibri" w:hAnsi="Times New Roman" w:cs="Times New Roman"/>
          <w:sz w:val="24"/>
          <w:szCs w:val="24"/>
          <w:lang w:eastAsia="hr-HR"/>
        </w:rPr>
        <w:t>azina neto mjesečne plaće značajno je korelirana sa udjelom zaposlenika u ukupnom dohotku kao i dohotkom od rada po stanovniku što indicira i veću razinu gospodarske aktivnosti, ali i konkurentnosti koja utječe na povećanje plaća. Ipak, prosječna neto plaća na području prve razvojne skupine iznosi tek oko dvije trećine vrijednosti nacionalnog prosjeka što</w:t>
      </w:r>
      <w:r w:rsidR="00595CA2" w:rsidRPr="00C0186C">
        <w:rPr>
          <w:rFonts w:ascii="Times New Roman" w:eastAsia="Calibri" w:hAnsi="Times New Roman" w:cs="Times New Roman"/>
          <w:sz w:val="24"/>
          <w:szCs w:val="24"/>
          <w:lang w:eastAsia="hr-HR"/>
        </w:rPr>
        <w:t xml:space="preserve"> je</w:t>
      </w:r>
      <w:r w:rsidR="00FB680E" w:rsidRPr="00C0186C">
        <w:rPr>
          <w:rFonts w:ascii="Times New Roman" w:eastAsia="Calibri" w:hAnsi="Times New Roman" w:cs="Times New Roman"/>
          <w:sz w:val="24"/>
          <w:szCs w:val="24"/>
          <w:lang w:eastAsia="hr-HR"/>
        </w:rPr>
        <w:t>, imajući u vidu visoku stopu nezaposlenosti, indikator vrlo nepovoljn</w:t>
      </w:r>
      <w:r w:rsidR="00595CA2" w:rsidRPr="00C0186C">
        <w:rPr>
          <w:rFonts w:ascii="Times New Roman" w:eastAsia="Calibri" w:hAnsi="Times New Roman" w:cs="Times New Roman"/>
          <w:sz w:val="24"/>
          <w:szCs w:val="24"/>
          <w:lang w:eastAsia="hr-HR"/>
        </w:rPr>
        <w:t>og</w:t>
      </w:r>
      <w:r w:rsidR="00FB680E" w:rsidRPr="00C0186C">
        <w:rPr>
          <w:rFonts w:ascii="Times New Roman" w:eastAsia="Calibri" w:hAnsi="Times New Roman" w:cs="Times New Roman"/>
          <w:sz w:val="24"/>
          <w:szCs w:val="24"/>
          <w:lang w:eastAsia="hr-HR"/>
        </w:rPr>
        <w:t xml:space="preserve"> socijalnog stanja. Također se mogu zamijetiti izrazito niske neto mjesečne plaće na području prve razvojne skupine što indicira da značajan broj zaposlenika obavlja poslove u okviru privremenog ili sezonskog zaposlenja;</w:t>
      </w:r>
    </w:p>
    <w:p w14:paraId="65CCB06E" w14:textId="77777777" w:rsidR="00FB680E" w:rsidRPr="00C0186C" w:rsidRDefault="008F7BE7" w:rsidP="00B70EE8">
      <w:pPr>
        <w:numPr>
          <w:ilvl w:val="0"/>
          <w:numId w:val="2"/>
        </w:numPr>
        <w:spacing w:before="0" w:after="12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 xml:space="preserve">S </w:t>
      </w:r>
      <w:r w:rsidR="00FB680E" w:rsidRPr="00C0186C">
        <w:rPr>
          <w:rFonts w:ascii="Times New Roman" w:eastAsia="Calibri" w:hAnsi="Times New Roman" w:cs="Times New Roman"/>
          <w:sz w:val="24"/>
          <w:szCs w:val="24"/>
          <w:lang w:eastAsia="hr-HR"/>
        </w:rPr>
        <w:t xml:space="preserve">obzirom na visok udio staračkog kontingenta u pojedinim lokalnim samoupravama, bez obzira na visinu mirovine, prihodi od mirovina postali su dominantan izvor ukupnog dohotka </w:t>
      </w:r>
      <w:r w:rsidR="00BA6FA9" w:rsidRPr="00C0186C">
        <w:rPr>
          <w:rFonts w:ascii="Times New Roman" w:eastAsia="Calibri" w:hAnsi="Times New Roman" w:cs="Times New Roman"/>
          <w:sz w:val="24"/>
          <w:szCs w:val="24"/>
          <w:lang w:eastAsia="hr-HR"/>
        </w:rPr>
        <w:t>pojedinih lokalnih samouprava</w:t>
      </w:r>
      <w:r w:rsidR="00FB680E" w:rsidRPr="00C0186C">
        <w:rPr>
          <w:rFonts w:ascii="Times New Roman" w:eastAsia="Calibri" w:hAnsi="Times New Roman" w:cs="Times New Roman"/>
          <w:sz w:val="24"/>
          <w:szCs w:val="24"/>
          <w:lang w:eastAsia="hr-HR"/>
        </w:rPr>
        <w:t>. Isto tako, niti jedna lokalna samouprava u prve tri razvojne skupine ne prelazi prosjek mirovina Republike Hrvatske što svjedoči o razini gospodarske aktivnosti te kreiranja dodane vrijednosti u prošlosti. Tek dv</w:t>
      </w:r>
      <w:r w:rsidR="007E7F19" w:rsidRPr="00C0186C">
        <w:rPr>
          <w:rFonts w:ascii="Times New Roman" w:eastAsia="Calibri" w:hAnsi="Times New Roman" w:cs="Times New Roman"/>
          <w:sz w:val="24"/>
          <w:szCs w:val="24"/>
          <w:lang w:eastAsia="hr-HR"/>
        </w:rPr>
        <w:t>a</w:t>
      </w:r>
      <w:r w:rsidR="00FB680E" w:rsidRPr="00C0186C">
        <w:rPr>
          <w:rFonts w:ascii="Times New Roman" w:eastAsia="Calibri" w:hAnsi="Times New Roman" w:cs="Times New Roman"/>
          <w:sz w:val="24"/>
          <w:szCs w:val="24"/>
          <w:lang w:eastAsia="hr-HR"/>
        </w:rPr>
        <w:t xml:space="preserve"> </w:t>
      </w:r>
      <w:r w:rsidR="007038CF" w:rsidRPr="00C0186C">
        <w:rPr>
          <w:rFonts w:ascii="Times New Roman" w:eastAsia="Calibri" w:hAnsi="Times New Roman" w:cs="Times New Roman"/>
          <w:sz w:val="24"/>
          <w:szCs w:val="24"/>
          <w:lang w:eastAsia="hr-HR"/>
        </w:rPr>
        <w:t>JLS</w:t>
      </w:r>
      <w:r w:rsidR="007E7F19" w:rsidRPr="00C0186C">
        <w:rPr>
          <w:rFonts w:ascii="Times New Roman" w:eastAsia="Calibri" w:hAnsi="Times New Roman" w:cs="Times New Roman"/>
          <w:sz w:val="24"/>
          <w:szCs w:val="24"/>
          <w:lang w:eastAsia="hr-HR"/>
        </w:rPr>
        <w:t>-a</w:t>
      </w:r>
      <w:r w:rsidR="00FB680E" w:rsidRPr="00C0186C">
        <w:rPr>
          <w:rFonts w:ascii="Times New Roman" w:eastAsia="Calibri" w:hAnsi="Times New Roman" w:cs="Times New Roman"/>
          <w:sz w:val="24"/>
          <w:szCs w:val="24"/>
          <w:lang w:eastAsia="hr-HR"/>
        </w:rPr>
        <w:t xml:space="preserve"> u četvrtoj razvojnoj skupini nalaze se iznad prosjeka Republike Hrvatske. Navedeno stanje upućuje na socijalnu problematiku stanovništva starije životne dobi koje većinom ne ostvaruje dovoljna primanja za zadovoljavajući životni standard te specifične potrebe starije populacije;</w:t>
      </w:r>
    </w:p>
    <w:p w14:paraId="1E79B3B2" w14:textId="584EF19B" w:rsidR="0048160A" w:rsidRDefault="00FB680E" w:rsidP="00B70EE8">
      <w:pPr>
        <w:numPr>
          <w:ilvl w:val="0"/>
          <w:numId w:val="2"/>
        </w:numPr>
        <w:spacing w:before="0" w:after="0"/>
        <w:jc w:val="both"/>
        <w:rPr>
          <w:rFonts w:ascii="Times New Roman" w:eastAsia="Calibri" w:hAnsi="Times New Roman" w:cs="Times New Roman"/>
          <w:sz w:val="24"/>
          <w:szCs w:val="24"/>
          <w:lang w:eastAsia="hr-HR"/>
        </w:rPr>
      </w:pPr>
      <w:r w:rsidRPr="00C0186C">
        <w:rPr>
          <w:rFonts w:ascii="Times New Roman" w:eastAsia="Calibri" w:hAnsi="Times New Roman" w:cs="Times New Roman"/>
          <w:sz w:val="24"/>
          <w:szCs w:val="24"/>
          <w:lang w:eastAsia="hr-HR"/>
        </w:rPr>
        <w:t>Tek četiri ili 1,3% lokalnih samouprava potpomognutog područja prelazi nacionalni prosjek po pitanju ukupnog dohotka po stanovniku (od čega su tri u četvrtoj, a jedna u trećoj razvojnoj skupini). Stoga se može zaključiti da sv</w:t>
      </w:r>
      <w:r w:rsidR="007E7F19" w:rsidRPr="00C0186C">
        <w:rPr>
          <w:rFonts w:ascii="Times New Roman" w:eastAsia="Calibri" w:hAnsi="Times New Roman" w:cs="Times New Roman"/>
          <w:sz w:val="24"/>
          <w:szCs w:val="24"/>
          <w:lang w:eastAsia="hr-HR"/>
        </w:rPr>
        <w:t>i</w:t>
      </w:r>
      <w:r w:rsidRPr="00C0186C">
        <w:rPr>
          <w:rFonts w:ascii="Times New Roman" w:eastAsia="Calibri" w:hAnsi="Times New Roman" w:cs="Times New Roman"/>
          <w:sz w:val="24"/>
          <w:szCs w:val="24"/>
          <w:lang w:eastAsia="hr-HR"/>
        </w:rPr>
        <w:t xml:space="preserve"> </w:t>
      </w:r>
      <w:r w:rsidR="007038CF" w:rsidRPr="00C0186C">
        <w:rPr>
          <w:rFonts w:ascii="Times New Roman" w:eastAsia="Calibri" w:hAnsi="Times New Roman" w:cs="Times New Roman"/>
          <w:sz w:val="24"/>
          <w:szCs w:val="24"/>
          <w:lang w:eastAsia="hr-HR"/>
        </w:rPr>
        <w:t>JLS</w:t>
      </w:r>
      <w:r w:rsidR="007E7F19" w:rsidRPr="00C0186C">
        <w:rPr>
          <w:rFonts w:ascii="Times New Roman" w:eastAsia="Calibri" w:hAnsi="Times New Roman" w:cs="Times New Roman"/>
          <w:sz w:val="24"/>
          <w:szCs w:val="24"/>
          <w:lang w:eastAsia="hr-HR"/>
        </w:rPr>
        <w:t>-ovi</w:t>
      </w:r>
      <w:r w:rsidRPr="00C0186C">
        <w:rPr>
          <w:rFonts w:ascii="Times New Roman" w:eastAsia="Calibri" w:hAnsi="Times New Roman" w:cs="Times New Roman"/>
          <w:sz w:val="24"/>
          <w:szCs w:val="24"/>
          <w:lang w:eastAsia="hr-HR"/>
        </w:rPr>
        <w:t xml:space="preserve"> potpomognutog područja ne ostvaruju zadovoljavajuću razinu dohotka koja omogućava životni standard primjeren hrvatskom društvu;</w:t>
      </w:r>
    </w:p>
    <w:p w14:paraId="6797AA23" w14:textId="4066F0F5" w:rsidR="00D22350" w:rsidRDefault="00D22350" w:rsidP="00D22350">
      <w:pPr>
        <w:spacing w:before="0" w:after="0"/>
        <w:jc w:val="both"/>
        <w:rPr>
          <w:rFonts w:ascii="Times New Roman" w:eastAsia="Calibri" w:hAnsi="Times New Roman" w:cs="Times New Roman"/>
          <w:sz w:val="24"/>
          <w:szCs w:val="24"/>
          <w:lang w:eastAsia="hr-HR"/>
        </w:rPr>
      </w:pPr>
    </w:p>
    <w:p w14:paraId="4836C497" w14:textId="7820A9AC" w:rsidR="00D22350" w:rsidRDefault="00D22350" w:rsidP="00D22350">
      <w:pPr>
        <w:spacing w:before="0" w:after="0"/>
        <w:jc w:val="both"/>
        <w:rPr>
          <w:rFonts w:ascii="Times New Roman" w:eastAsia="Calibri" w:hAnsi="Times New Roman" w:cs="Times New Roman"/>
          <w:sz w:val="24"/>
          <w:szCs w:val="24"/>
          <w:lang w:eastAsia="hr-HR"/>
        </w:rPr>
      </w:pPr>
    </w:p>
    <w:p w14:paraId="181A1D01" w14:textId="3CD76A08" w:rsidR="00D22350" w:rsidRDefault="00D22350" w:rsidP="00D22350">
      <w:pPr>
        <w:spacing w:before="0" w:after="0"/>
        <w:jc w:val="both"/>
        <w:rPr>
          <w:rFonts w:ascii="Times New Roman" w:eastAsia="Calibri" w:hAnsi="Times New Roman" w:cs="Times New Roman"/>
          <w:sz w:val="24"/>
          <w:szCs w:val="24"/>
          <w:lang w:eastAsia="hr-HR"/>
        </w:rPr>
      </w:pPr>
    </w:p>
    <w:p w14:paraId="2F0B975D" w14:textId="6ABA982F" w:rsidR="00D22350" w:rsidRDefault="00D22350" w:rsidP="00D22350">
      <w:pPr>
        <w:spacing w:before="0" w:after="0"/>
        <w:jc w:val="both"/>
        <w:rPr>
          <w:rFonts w:ascii="Times New Roman" w:eastAsia="Calibri" w:hAnsi="Times New Roman" w:cs="Times New Roman"/>
          <w:sz w:val="24"/>
          <w:szCs w:val="24"/>
          <w:lang w:eastAsia="hr-HR"/>
        </w:rPr>
      </w:pPr>
    </w:p>
    <w:p w14:paraId="136D3545" w14:textId="5FA144A6" w:rsidR="00D22350" w:rsidRDefault="00D22350" w:rsidP="00D22350">
      <w:pPr>
        <w:spacing w:before="0" w:after="0"/>
        <w:jc w:val="both"/>
        <w:rPr>
          <w:rFonts w:ascii="Times New Roman" w:eastAsia="Calibri" w:hAnsi="Times New Roman" w:cs="Times New Roman"/>
          <w:sz w:val="24"/>
          <w:szCs w:val="24"/>
          <w:lang w:eastAsia="hr-HR"/>
        </w:rPr>
      </w:pPr>
    </w:p>
    <w:p w14:paraId="48D37111" w14:textId="72A56E11" w:rsidR="00D22350" w:rsidRDefault="00D22350" w:rsidP="00D22350">
      <w:pPr>
        <w:spacing w:before="0" w:after="0"/>
        <w:jc w:val="both"/>
        <w:rPr>
          <w:rFonts w:ascii="Times New Roman" w:eastAsia="Calibri" w:hAnsi="Times New Roman" w:cs="Times New Roman"/>
          <w:sz w:val="24"/>
          <w:szCs w:val="24"/>
          <w:lang w:eastAsia="hr-HR"/>
        </w:rPr>
      </w:pPr>
    </w:p>
    <w:p w14:paraId="4F7C7AA9" w14:textId="757A823A" w:rsidR="00D22350" w:rsidRDefault="00D22350" w:rsidP="00D22350">
      <w:pPr>
        <w:spacing w:before="0" w:after="0"/>
        <w:jc w:val="both"/>
        <w:rPr>
          <w:rFonts w:ascii="Times New Roman" w:eastAsia="Calibri" w:hAnsi="Times New Roman" w:cs="Times New Roman"/>
          <w:sz w:val="24"/>
          <w:szCs w:val="24"/>
          <w:lang w:eastAsia="hr-HR"/>
        </w:rPr>
      </w:pPr>
    </w:p>
    <w:p w14:paraId="77E2ED4B" w14:textId="57B64AC2" w:rsidR="00D22350" w:rsidRDefault="00D22350" w:rsidP="00D22350">
      <w:pPr>
        <w:spacing w:before="0" w:after="0"/>
        <w:jc w:val="both"/>
        <w:rPr>
          <w:rFonts w:ascii="Times New Roman" w:eastAsia="Calibri" w:hAnsi="Times New Roman" w:cs="Times New Roman"/>
          <w:sz w:val="24"/>
          <w:szCs w:val="24"/>
          <w:lang w:eastAsia="hr-HR"/>
        </w:rPr>
      </w:pPr>
    </w:p>
    <w:p w14:paraId="075EDFB4" w14:textId="5DB8AD18" w:rsidR="00D22350" w:rsidRDefault="00D22350" w:rsidP="00D22350">
      <w:pPr>
        <w:spacing w:before="0" w:after="0"/>
        <w:jc w:val="both"/>
        <w:rPr>
          <w:rFonts w:ascii="Times New Roman" w:eastAsia="Calibri" w:hAnsi="Times New Roman" w:cs="Times New Roman"/>
          <w:sz w:val="24"/>
          <w:szCs w:val="24"/>
          <w:lang w:eastAsia="hr-HR"/>
        </w:rPr>
      </w:pPr>
    </w:p>
    <w:p w14:paraId="10D54E1C" w14:textId="4CEDD1D8" w:rsidR="00D22350" w:rsidRDefault="00D22350" w:rsidP="00D22350">
      <w:pPr>
        <w:spacing w:before="0" w:after="0"/>
        <w:jc w:val="both"/>
        <w:rPr>
          <w:rFonts w:ascii="Times New Roman" w:eastAsia="Calibri" w:hAnsi="Times New Roman" w:cs="Times New Roman"/>
          <w:sz w:val="24"/>
          <w:szCs w:val="24"/>
          <w:lang w:eastAsia="hr-HR"/>
        </w:rPr>
      </w:pPr>
    </w:p>
    <w:p w14:paraId="5A983BDC" w14:textId="1D3D5272" w:rsidR="00DA5109" w:rsidRDefault="00DA5109" w:rsidP="00D22350">
      <w:pPr>
        <w:spacing w:before="0" w:after="0"/>
        <w:jc w:val="both"/>
        <w:rPr>
          <w:rFonts w:ascii="Times New Roman" w:eastAsia="Calibri" w:hAnsi="Times New Roman" w:cs="Times New Roman"/>
          <w:sz w:val="24"/>
          <w:szCs w:val="24"/>
          <w:lang w:eastAsia="hr-HR"/>
        </w:rPr>
      </w:pPr>
    </w:p>
    <w:p w14:paraId="5490ABFD" w14:textId="4D22FB2D" w:rsidR="00DA5109" w:rsidRDefault="00DA5109" w:rsidP="00D22350">
      <w:pPr>
        <w:spacing w:before="0" w:after="0"/>
        <w:jc w:val="both"/>
        <w:rPr>
          <w:rFonts w:ascii="Times New Roman" w:eastAsia="Calibri" w:hAnsi="Times New Roman" w:cs="Times New Roman"/>
          <w:sz w:val="24"/>
          <w:szCs w:val="24"/>
          <w:lang w:eastAsia="hr-HR"/>
        </w:rPr>
      </w:pPr>
    </w:p>
    <w:p w14:paraId="520AC743" w14:textId="028B2DFC" w:rsidR="00DA5109" w:rsidRDefault="00DA5109" w:rsidP="00D22350">
      <w:pPr>
        <w:spacing w:before="0" w:after="0"/>
        <w:jc w:val="both"/>
        <w:rPr>
          <w:rFonts w:ascii="Times New Roman" w:eastAsia="Calibri" w:hAnsi="Times New Roman" w:cs="Times New Roman"/>
          <w:sz w:val="24"/>
          <w:szCs w:val="24"/>
          <w:lang w:eastAsia="hr-HR"/>
        </w:rPr>
      </w:pPr>
    </w:p>
    <w:p w14:paraId="306FCB74" w14:textId="4BDCEFBE" w:rsidR="00DA5109" w:rsidRDefault="00DA5109" w:rsidP="00D22350">
      <w:pPr>
        <w:spacing w:before="0" w:after="0"/>
        <w:jc w:val="both"/>
        <w:rPr>
          <w:rFonts w:ascii="Times New Roman" w:eastAsia="Calibri" w:hAnsi="Times New Roman" w:cs="Times New Roman"/>
          <w:sz w:val="24"/>
          <w:szCs w:val="24"/>
          <w:lang w:eastAsia="hr-HR"/>
        </w:rPr>
      </w:pPr>
    </w:p>
    <w:p w14:paraId="75E62B41" w14:textId="1A1657A6" w:rsidR="00DA5109" w:rsidRDefault="00DA5109" w:rsidP="00D22350">
      <w:pPr>
        <w:spacing w:before="0" w:after="0"/>
        <w:jc w:val="both"/>
        <w:rPr>
          <w:rFonts w:ascii="Times New Roman" w:eastAsia="Calibri" w:hAnsi="Times New Roman" w:cs="Times New Roman"/>
          <w:sz w:val="24"/>
          <w:szCs w:val="24"/>
          <w:lang w:eastAsia="hr-HR"/>
        </w:rPr>
      </w:pPr>
    </w:p>
    <w:p w14:paraId="662D38AB" w14:textId="77777777" w:rsidR="00DA5109" w:rsidRDefault="00DA5109" w:rsidP="00D22350">
      <w:pPr>
        <w:spacing w:before="0" w:after="0"/>
        <w:jc w:val="both"/>
        <w:rPr>
          <w:rFonts w:ascii="Times New Roman" w:eastAsia="Calibri" w:hAnsi="Times New Roman" w:cs="Times New Roman"/>
          <w:sz w:val="24"/>
          <w:szCs w:val="24"/>
          <w:lang w:eastAsia="hr-HR"/>
        </w:rPr>
      </w:pPr>
    </w:p>
    <w:p w14:paraId="5620836F" w14:textId="6CC4B47E" w:rsidR="00D22350" w:rsidRDefault="00D22350" w:rsidP="00D22350">
      <w:pPr>
        <w:spacing w:before="0" w:after="0"/>
        <w:jc w:val="both"/>
        <w:rPr>
          <w:rFonts w:ascii="Times New Roman" w:eastAsia="Calibri" w:hAnsi="Times New Roman" w:cs="Times New Roman"/>
          <w:sz w:val="24"/>
          <w:szCs w:val="24"/>
          <w:lang w:eastAsia="hr-HR"/>
        </w:rPr>
      </w:pPr>
    </w:p>
    <w:p w14:paraId="514D4527" w14:textId="1C62BAEB" w:rsidR="001424DD" w:rsidRDefault="001424DD" w:rsidP="00D22350">
      <w:pPr>
        <w:spacing w:before="0" w:after="0"/>
        <w:jc w:val="both"/>
        <w:rPr>
          <w:rFonts w:ascii="Times New Roman" w:eastAsia="Calibri" w:hAnsi="Times New Roman" w:cs="Times New Roman"/>
          <w:sz w:val="24"/>
          <w:szCs w:val="24"/>
          <w:lang w:eastAsia="hr-HR"/>
        </w:rPr>
      </w:pPr>
    </w:p>
    <w:p w14:paraId="12A9835E" w14:textId="0C217742" w:rsidR="001424DD" w:rsidRDefault="001424DD" w:rsidP="00D22350">
      <w:pPr>
        <w:spacing w:before="0" w:after="0"/>
        <w:jc w:val="both"/>
        <w:rPr>
          <w:rFonts w:ascii="Times New Roman" w:eastAsia="Calibri" w:hAnsi="Times New Roman" w:cs="Times New Roman"/>
          <w:sz w:val="24"/>
          <w:szCs w:val="24"/>
          <w:lang w:eastAsia="hr-HR"/>
        </w:rPr>
      </w:pPr>
    </w:p>
    <w:p w14:paraId="7AE8C4BD" w14:textId="4ED0757B" w:rsidR="001424DD" w:rsidRDefault="001424DD" w:rsidP="00D22350">
      <w:pPr>
        <w:spacing w:before="0" w:after="0"/>
        <w:jc w:val="both"/>
        <w:rPr>
          <w:rFonts w:ascii="Times New Roman" w:eastAsia="Calibri" w:hAnsi="Times New Roman" w:cs="Times New Roman"/>
          <w:sz w:val="24"/>
          <w:szCs w:val="24"/>
          <w:lang w:eastAsia="hr-HR"/>
        </w:rPr>
      </w:pPr>
    </w:p>
    <w:p w14:paraId="2E37BC09" w14:textId="2B3582A2" w:rsidR="001424DD" w:rsidRDefault="001424DD" w:rsidP="00D22350">
      <w:pPr>
        <w:spacing w:before="0" w:after="0"/>
        <w:jc w:val="both"/>
        <w:rPr>
          <w:rFonts w:ascii="Times New Roman" w:eastAsia="Calibri" w:hAnsi="Times New Roman" w:cs="Times New Roman"/>
          <w:sz w:val="24"/>
          <w:szCs w:val="24"/>
          <w:lang w:eastAsia="hr-HR"/>
        </w:rPr>
      </w:pPr>
    </w:p>
    <w:p w14:paraId="3EE140C4" w14:textId="77777777" w:rsidR="001424DD" w:rsidRDefault="001424DD" w:rsidP="00D22350">
      <w:pPr>
        <w:spacing w:before="0" w:after="0"/>
        <w:jc w:val="both"/>
        <w:rPr>
          <w:rFonts w:ascii="Times New Roman" w:eastAsia="Calibri" w:hAnsi="Times New Roman" w:cs="Times New Roman"/>
          <w:sz w:val="24"/>
          <w:szCs w:val="24"/>
          <w:lang w:eastAsia="hr-HR"/>
        </w:rPr>
      </w:pPr>
    </w:p>
    <w:p w14:paraId="329A21FE" w14:textId="5E16CF35" w:rsidR="00D22350" w:rsidRDefault="00D22350" w:rsidP="00D22350">
      <w:pPr>
        <w:spacing w:before="0" w:after="0"/>
        <w:jc w:val="both"/>
        <w:rPr>
          <w:rFonts w:ascii="Times New Roman" w:eastAsia="Calibri" w:hAnsi="Times New Roman" w:cs="Times New Roman"/>
          <w:sz w:val="24"/>
          <w:szCs w:val="24"/>
          <w:lang w:eastAsia="hr-HR"/>
        </w:rPr>
      </w:pPr>
    </w:p>
    <w:p w14:paraId="2C181E77" w14:textId="34557886" w:rsidR="00D22350" w:rsidRDefault="00D22350" w:rsidP="00D22350">
      <w:pPr>
        <w:spacing w:before="0" w:after="0"/>
        <w:jc w:val="both"/>
        <w:rPr>
          <w:rFonts w:ascii="Times New Roman" w:eastAsia="Calibri" w:hAnsi="Times New Roman" w:cs="Times New Roman"/>
          <w:sz w:val="24"/>
          <w:szCs w:val="24"/>
          <w:lang w:eastAsia="hr-HR"/>
        </w:rPr>
      </w:pPr>
    </w:p>
    <w:p w14:paraId="4DFD767C" w14:textId="77777777" w:rsidR="00D22350" w:rsidRDefault="00D22350" w:rsidP="00D22350">
      <w:pPr>
        <w:spacing w:before="0" w:after="0"/>
        <w:jc w:val="both"/>
        <w:rPr>
          <w:rFonts w:ascii="Times New Roman" w:eastAsia="Calibri" w:hAnsi="Times New Roman" w:cs="Times New Roman"/>
          <w:sz w:val="24"/>
          <w:szCs w:val="24"/>
          <w:lang w:eastAsia="hr-HR"/>
        </w:rPr>
      </w:pPr>
    </w:p>
    <w:p w14:paraId="63CA79ED" w14:textId="77777777" w:rsidR="0048160A" w:rsidRPr="0048160A" w:rsidRDefault="0048160A" w:rsidP="0048160A">
      <w:pPr>
        <w:spacing w:before="0" w:after="0"/>
        <w:ind w:left="780"/>
        <w:jc w:val="both"/>
        <w:rPr>
          <w:rFonts w:ascii="Times New Roman" w:eastAsia="Calibri" w:hAnsi="Times New Roman" w:cs="Times New Roman"/>
          <w:sz w:val="24"/>
          <w:szCs w:val="24"/>
          <w:lang w:eastAsia="hr-HR"/>
        </w:rPr>
      </w:pPr>
    </w:p>
    <w:p w14:paraId="6B07C55B" w14:textId="77777777" w:rsidR="002F6A60" w:rsidRPr="00C0186C" w:rsidRDefault="00946229" w:rsidP="00B70EE8">
      <w:pPr>
        <w:pStyle w:val="Heading2"/>
        <w:spacing w:before="0"/>
        <w:rPr>
          <w:rFonts w:ascii="Times New Roman" w:hAnsi="Times New Roman" w:cs="Times New Roman"/>
          <w:sz w:val="24"/>
          <w:szCs w:val="24"/>
        </w:rPr>
      </w:pPr>
      <w:bookmarkStart w:id="12" w:name="_Toc95891858"/>
      <w:r w:rsidRPr="00C0186C">
        <w:rPr>
          <w:rFonts w:ascii="Times New Roman" w:hAnsi="Times New Roman" w:cs="Times New Roman"/>
          <w:b/>
          <w:bCs/>
          <w:sz w:val="24"/>
          <w:szCs w:val="24"/>
        </w:rPr>
        <w:t>3.3.</w:t>
      </w:r>
      <w:r w:rsidRPr="00C0186C">
        <w:rPr>
          <w:rFonts w:ascii="Times New Roman" w:hAnsi="Times New Roman" w:cs="Times New Roman"/>
          <w:sz w:val="24"/>
          <w:szCs w:val="24"/>
        </w:rPr>
        <w:t xml:space="preserve"> </w:t>
      </w:r>
      <w:r w:rsidRPr="00C0186C">
        <w:rPr>
          <w:rFonts w:ascii="Times New Roman" w:hAnsi="Times New Roman" w:cs="Times New Roman"/>
          <w:b/>
          <w:bCs/>
          <w:sz w:val="24"/>
          <w:szCs w:val="24"/>
        </w:rPr>
        <w:t xml:space="preserve">OCJENA </w:t>
      </w:r>
      <w:r w:rsidR="00766082" w:rsidRPr="00C0186C">
        <w:rPr>
          <w:rFonts w:ascii="Times New Roman" w:hAnsi="Times New Roman" w:cs="Times New Roman"/>
          <w:b/>
          <w:bCs/>
          <w:sz w:val="24"/>
          <w:szCs w:val="24"/>
        </w:rPr>
        <w:t xml:space="preserve">UČINAKA </w:t>
      </w:r>
      <w:r w:rsidRPr="00C0186C">
        <w:rPr>
          <w:rFonts w:ascii="Times New Roman" w:hAnsi="Times New Roman" w:cs="Times New Roman"/>
          <w:b/>
          <w:bCs/>
          <w:sz w:val="24"/>
          <w:szCs w:val="24"/>
        </w:rPr>
        <w:t>DOSADAŠNJIH MJERA POTPORE RAZ</w:t>
      </w:r>
      <w:r w:rsidR="00CC5008" w:rsidRPr="00C0186C">
        <w:rPr>
          <w:rFonts w:ascii="Times New Roman" w:hAnsi="Times New Roman" w:cs="Times New Roman"/>
          <w:b/>
          <w:bCs/>
          <w:sz w:val="24"/>
          <w:szCs w:val="24"/>
        </w:rPr>
        <w:t>VOJA</w:t>
      </w:r>
      <w:bookmarkEnd w:id="12"/>
      <w:r w:rsidR="00CC5008" w:rsidRPr="00C0186C">
        <w:rPr>
          <w:rFonts w:ascii="Times New Roman" w:hAnsi="Times New Roman" w:cs="Times New Roman"/>
          <w:sz w:val="24"/>
          <w:szCs w:val="24"/>
        </w:rPr>
        <w:t xml:space="preserve"> </w:t>
      </w:r>
    </w:p>
    <w:p w14:paraId="242B317E" w14:textId="77777777" w:rsidR="007E7017" w:rsidRPr="00C0186C" w:rsidRDefault="007E7017" w:rsidP="00B70EE8">
      <w:pPr>
        <w:pStyle w:val="NoSpacing"/>
        <w:spacing w:before="0" w:line="276" w:lineRule="auto"/>
        <w:rPr>
          <w:rFonts w:ascii="Times New Roman" w:hAnsi="Times New Roman" w:cs="Times New Roman"/>
          <w:b/>
          <w:sz w:val="24"/>
          <w:szCs w:val="24"/>
        </w:rPr>
      </w:pPr>
    </w:p>
    <w:p w14:paraId="281664F3" w14:textId="77777777" w:rsidR="007E7017" w:rsidRPr="00C0186C" w:rsidRDefault="007E7017" w:rsidP="00B70EE8">
      <w:pPr>
        <w:pStyle w:val="NoSpacing"/>
        <w:spacing w:before="0" w:line="276" w:lineRule="auto"/>
        <w:jc w:val="both"/>
        <w:rPr>
          <w:rFonts w:ascii="Times New Roman" w:hAnsi="Times New Roman" w:cs="Times New Roman"/>
          <w:bCs/>
          <w:sz w:val="24"/>
          <w:szCs w:val="24"/>
        </w:rPr>
      </w:pPr>
      <w:r w:rsidRPr="00C0186C">
        <w:rPr>
          <w:rFonts w:ascii="Times New Roman" w:hAnsi="Times New Roman" w:cs="Times New Roman"/>
          <w:sz w:val="24"/>
          <w:szCs w:val="24"/>
        </w:rPr>
        <w:t>Dugoročno gledano,</w:t>
      </w:r>
      <w:r w:rsidRPr="00C0186C">
        <w:rPr>
          <w:rFonts w:ascii="Times New Roman" w:hAnsi="Times New Roman" w:cs="Times New Roman"/>
          <w:bCs/>
          <w:sz w:val="24"/>
          <w:szCs w:val="24"/>
        </w:rPr>
        <w:t xml:space="preserve"> radi smanjenja razvojnih divergencija, politikom regionalnog razvoja Republike Hrvatske </w:t>
      </w:r>
      <w:r w:rsidR="00766082" w:rsidRPr="00C0186C">
        <w:rPr>
          <w:rFonts w:ascii="Times New Roman" w:hAnsi="Times New Roman" w:cs="Times New Roman"/>
          <w:bCs/>
          <w:sz w:val="24"/>
          <w:szCs w:val="24"/>
        </w:rPr>
        <w:t>određene</w:t>
      </w:r>
      <w:r w:rsidRPr="00C0186C">
        <w:rPr>
          <w:rFonts w:ascii="Times New Roman" w:hAnsi="Times New Roman" w:cs="Times New Roman"/>
          <w:bCs/>
          <w:sz w:val="24"/>
          <w:szCs w:val="24"/>
        </w:rPr>
        <w:t xml:space="preserve"> mjere i mehanizmi do sada su bili usmjereni na potporu i poticanje razvoja slabije razvijenih područja i većem iskorištavanju njihovih ljudskih, ekonomskih i financijskih potencijala. Počevši od prvih područnih zakona 1996. godine, korištene su brojne mjere državnih potpora, usmjerene na tri osnovna cilja: demografsku obnovu, ekonomski rast i održivi razvitak, te na povećanje životnog standarda i kvalitetu života stanovništva. Svakim od posebnih zakona i zakonskih propisa koji su regulirali poticanje specifičnog područja Republike Hrvatske</w:t>
      </w:r>
      <w:r w:rsidR="00766082" w:rsidRPr="00C0186C">
        <w:rPr>
          <w:rFonts w:ascii="Times New Roman" w:hAnsi="Times New Roman" w:cs="Times New Roman"/>
          <w:bCs/>
          <w:sz w:val="24"/>
          <w:szCs w:val="24"/>
        </w:rPr>
        <w:t>,</w:t>
      </w:r>
      <w:r w:rsidRPr="00C0186C">
        <w:rPr>
          <w:rFonts w:ascii="Times New Roman" w:hAnsi="Times New Roman" w:cs="Times New Roman"/>
          <w:bCs/>
          <w:sz w:val="24"/>
          <w:szCs w:val="24"/>
        </w:rPr>
        <w:t xml:space="preserve"> bile su određene i mjere za koje se smatralo da će pridonijeti realizaciji ciljeva regionalne politike i smanjenju razvojnih nejednakosti. </w:t>
      </w:r>
    </w:p>
    <w:p w14:paraId="7E2B7E43" w14:textId="77777777" w:rsidR="007E7017" w:rsidRPr="00C0186C" w:rsidRDefault="007E7017" w:rsidP="00B70EE8">
      <w:pPr>
        <w:pStyle w:val="NoSpacing"/>
        <w:spacing w:before="0" w:line="276" w:lineRule="auto"/>
        <w:jc w:val="both"/>
        <w:rPr>
          <w:rFonts w:ascii="Times New Roman" w:hAnsi="Times New Roman" w:cs="Times New Roman"/>
          <w:sz w:val="24"/>
          <w:szCs w:val="24"/>
        </w:rPr>
      </w:pPr>
    </w:p>
    <w:p w14:paraId="6597D530" w14:textId="33AEF3FE" w:rsidR="007E7017" w:rsidRPr="00C0186C" w:rsidRDefault="007E7017"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Mjere za poticanje razvoja potpomognutih područja prvi su put konkretnije propisane Zakonom o</w:t>
      </w:r>
      <w:r w:rsidR="00161D58" w:rsidRPr="00C0186C">
        <w:rPr>
          <w:rFonts w:ascii="Times New Roman" w:hAnsi="Times New Roman" w:cs="Times New Roman"/>
          <w:sz w:val="24"/>
          <w:szCs w:val="24"/>
        </w:rPr>
        <w:t xml:space="preserve"> regionalnom razvoju iz 2014. </w:t>
      </w:r>
      <w:r w:rsidR="00161D58" w:rsidRPr="00C0186C">
        <w:rPr>
          <w:rFonts w:ascii="Times New Roman" w:hAnsi="Times New Roman" w:cs="Times New Roman"/>
          <w:i/>
          <w:iCs/>
          <w:sz w:val="24"/>
          <w:szCs w:val="24"/>
        </w:rPr>
        <w:t>(</w:t>
      </w:r>
      <w:r w:rsidRPr="00C0186C">
        <w:rPr>
          <w:rFonts w:ascii="Times New Roman" w:hAnsi="Times New Roman" w:cs="Times New Roman"/>
          <w:i/>
          <w:iCs/>
          <w:sz w:val="24"/>
          <w:szCs w:val="24"/>
        </w:rPr>
        <w:t>„Narodne novin</w:t>
      </w:r>
      <w:r w:rsidR="00283FBB" w:rsidRPr="00C0186C">
        <w:rPr>
          <w:rFonts w:ascii="Times New Roman" w:hAnsi="Times New Roman" w:cs="Times New Roman"/>
          <w:i/>
          <w:iCs/>
          <w:sz w:val="24"/>
          <w:szCs w:val="24"/>
        </w:rPr>
        <w:t>e“ br</w:t>
      </w:r>
      <w:r w:rsidR="008621AB">
        <w:rPr>
          <w:rFonts w:ascii="Times New Roman" w:hAnsi="Times New Roman" w:cs="Times New Roman"/>
          <w:i/>
          <w:iCs/>
          <w:sz w:val="24"/>
          <w:szCs w:val="24"/>
        </w:rPr>
        <w:t>oj</w:t>
      </w:r>
      <w:r w:rsidR="00283FBB" w:rsidRPr="00C0186C">
        <w:rPr>
          <w:rFonts w:ascii="Times New Roman" w:hAnsi="Times New Roman" w:cs="Times New Roman"/>
          <w:i/>
          <w:iCs/>
          <w:sz w:val="24"/>
          <w:szCs w:val="24"/>
        </w:rPr>
        <w:t xml:space="preserve"> 147/14)</w:t>
      </w:r>
      <w:r w:rsidR="00EF2461" w:rsidRPr="00C0186C">
        <w:rPr>
          <w:rFonts w:ascii="Times New Roman" w:hAnsi="Times New Roman" w:cs="Times New Roman"/>
          <w:i/>
          <w:iCs/>
          <w:sz w:val="24"/>
          <w:szCs w:val="24"/>
        </w:rPr>
        <w:t>.</w:t>
      </w:r>
      <w:r w:rsidR="00EF2461" w:rsidRPr="00C0186C">
        <w:rPr>
          <w:rFonts w:ascii="Times New Roman" w:hAnsi="Times New Roman" w:cs="Times New Roman"/>
          <w:sz w:val="24"/>
          <w:szCs w:val="24"/>
        </w:rPr>
        <w:t xml:space="preserve"> Primjerice, </w:t>
      </w:r>
      <w:r w:rsidRPr="00C0186C">
        <w:rPr>
          <w:rFonts w:ascii="Times New Roman" w:hAnsi="Times New Roman" w:cs="Times New Roman"/>
          <w:sz w:val="24"/>
          <w:szCs w:val="24"/>
        </w:rPr>
        <w:t xml:space="preserve">pomoć za sufinanciranje pripreme i provedbe projekata, isplata prihoda od poreza na dobit jedinicama lokalne samouprave, naknada za eksploataciju mineralnih sirovina, naknada zbog zaštićenih prirodnih područja. Mjere za poticanje razvoja </w:t>
      </w:r>
      <w:r w:rsidR="007038CF" w:rsidRPr="00C0186C">
        <w:rPr>
          <w:rFonts w:ascii="Times New Roman" w:hAnsi="Times New Roman" w:cs="Times New Roman"/>
          <w:sz w:val="24"/>
          <w:szCs w:val="24"/>
        </w:rPr>
        <w:t>JLS</w:t>
      </w:r>
      <w:r w:rsidR="007E7F19" w:rsidRPr="00C0186C">
        <w:rPr>
          <w:rFonts w:ascii="Times New Roman" w:hAnsi="Times New Roman" w:cs="Times New Roman"/>
          <w:sz w:val="24"/>
          <w:szCs w:val="24"/>
        </w:rPr>
        <w:t>-ova</w:t>
      </w:r>
      <w:r w:rsidRPr="00C0186C">
        <w:rPr>
          <w:rFonts w:ascii="Times New Roman" w:hAnsi="Times New Roman" w:cs="Times New Roman"/>
          <w:sz w:val="24"/>
          <w:szCs w:val="24"/>
        </w:rPr>
        <w:t xml:space="preserve"> sa statusom potpomognuti</w:t>
      </w:r>
      <w:r w:rsidR="005128A9" w:rsidRPr="00C0186C">
        <w:rPr>
          <w:rFonts w:ascii="Times New Roman" w:hAnsi="Times New Roman" w:cs="Times New Roman"/>
          <w:sz w:val="24"/>
          <w:szCs w:val="24"/>
        </w:rPr>
        <w:t>h</w:t>
      </w:r>
      <w:r w:rsidRPr="00C0186C">
        <w:rPr>
          <w:rFonts w:ascii="Times New Roman" w:hAnsi="Times New Roman" w:cs="Times New Roman"/>
          <w:sz w:val="24"/>
          <w:szCs w:val="24"/>
        </w:rPr>
        <w:t xml:space="preserve"> područja obuhvaćaju i porezne olakšice na ostvareni dohodak, osobne odbitke za stanovnike potpomognutih područja, umanjenje ili oslobađanje od poreza na dobit za obvez</w:t>
      </w:r>
      <w:r w:rsidR="00283FBB" w:rsidRPr="00C0186C">
        <w:rPr>
          <w:rFonts w:ascii="Times New Roman" w:hAnsi="Times New Roman" w:cs="Times New Roman"/>
          <w:sz w:val="24"/>
          <w:szCs w:val="24"/>
        </w:rPr>
        <w:t xml:space="preserve">nike s potpomognutih područja. </w:t>
      </w:r>
      <w:r w:rsidRPr="00C0186C">
        <w:rPr>
          <w:rFonts w:ascii="Times New Roman" w:hAnsi="Times New Roman" w:cs="Times New Roman"/>
          <w:sz w:val="24"/>
          <w:szCs w:val="24"/>
        </w:rPr>
        <w:t xml:space="preserve">Iako prvi puta konkretnije propisane Zakonom iz 2014. godine, zakonskim propisima koji su mu  prethodili također se </w:t>
      </w:r>
      <w:r w:rsidR="00EF2461" w:rsidRPr="00C0186C">
        <w:rPr>
          <w:rFonts w:ascii="Times New Roman" w:hAnsi="Times New Roman" w:cs="Times New Roman"/>
          <w:sz w:val="24"/>
          <w:szCs w:val="24"/>
        </w:rPr>
        <w:t>različitim</w:t>
      </w:r>
      <w:r w:rsidRPr="00C0186C">
        <w:rPr>
          <w:rFonts w:ascii="Times New Roman" w:hAnsi="Times New Roman" w:cs="Times New Roman"/>
          <w:sz w:val="24"/>
          <w:szCs w:val="24"/>
        </w:rPr>
        <w:t xml:space="preserve"> mjerama nastojalo utjecati na smanjenje regionalnih nejednakosti na prostoru RH. </w:t>
      </w:r>
    </w:p>
    <w:p w14:paraId="0CDA6E3A" w14:textId="77777777" w:rsidR="007E7017" w:rsidRPr="00C0186C" w:rsidRDefault="007E7017" w:rsidP="00B70EE8">
      <w:pPr>
        <w:pStyle w:val="NoSpacing"/>
        <w:spacing w:before="0" w:line="276" w:lineRule="auto"/>
        <w:jc w:val="both"/>
        <w:rPr>
          <w:rFonts w:ascii="Times New Roman" w:hAnsi="Times New Roman" w:cs="Times New Roman"/>
          <w:sz w:val="24"/>
          <w:szCs w:val="24"/>
        </w:rPr>
      </w:pPr>
    </w:p>
    <w:p w14:paraId="32C36E1A" w14:textId="77777777" w:rsidR="00946229" w:rsidRPr="00C0186C" w:rsidRDefault="00A61BF8" w:rsidP="00B70EE8">
      <w:pPr>
        <w:spacing w:before="0" w:after="12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rPr>
        <w:t xml:space="preserve">Ako se ukupna </w:t>
      </w:r>
      <w:r w:rsidR="00766082" w:rsidRPr="00C0186C">
        <w:rPr>
          <w:rFonts w:ascii="Times New Roman" w:eastAsia="Calibri" w:hAnsi="Times New Roman" w:cs="Times New Roman"/>
          <w:sz w:val="24"/>
          <w:szCs w:val="24"/>
        </w:rPr>
        <w:t xml:space="preserve">učinkovitost </w:t>
      </w:r>
      <w:r w:rsidRPr="00C0186C">
        <w:rPr>
          <w:rFonts w:ascii="Times New Roman" w:eastAsia="Calibri" w:hAnsi="Times New Roman" w:cs="Times New Roman"/>
          <w:sz w:val="24"/>
          <w:szCs w:val="24"/>
        </w:rPr>
        <w:t>svih do sada implementiranih mjera ocjenjuje temeljem socijalno-ekonomske analize provedene za dugoročno razdoblje, moguće je zaključiti da one nisu polučile očekivane rezultate, kako s aspekta značajnih razvojnih pomaka, tako i smanjenje razvojnih divergencija u odnosu</w:t>
      </w:r>
      <w:r w:rsidR="007B2688" w:rsidRPr="00C0186C">
        <w:rPr>
          <w:rFonts w:ascii="Times New Roman" w:eastAsia="Calibri" w:hAnsi="Times New Roman" w:cs="Times New Roman"/>
          <w:sz w:val="24"/>
          <w:szCs w:val="24"/>
        </w:rPr>
        <w:t xml:space="preserve"> na ostali nacionalni prostor. </w:t>
      </w:r>
      <w:r w:rsidR="00B924B8" w:rsidRPr="00C0186C">
        <w:rPr>
          <w:rFonts w:ascii="Times New Roman" w:eastAsia="Calibri" w:hAnsi="Times New Roman" w:cs="Times New Roman"/>
          <w:sz w:val="24"/>
          <w:szCs w:val="24"/>
        </w:rPr>
        <w:t>Taj se zaključak temelji na sljedećem:</w:t>
      </w:r>
    </w:p>
    <w:p w14:paraId="0E63BCC8" w14:textId="77777777" w:rsidR="00145138" w:rsidRPr="00C0186C" w:rsidRDefault="007E7017" w:rsidP="00B70EE8">
      <w:pPr>
        <w:pStyle w:val="ListParagraph"/>
        <w:numPr>
          <w:ilvl w:val="0"/>
          <w:numId w:val="3"/>
        </w:numPr>
        <w:spacing w:before="0" w:after="120"/>
        <w:contextualSpacing w:val="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rPr>
        <w:t>Potpomognuta područja karakterizira iznadprosječna stopa i dinamika smanjenja broja stanovnika u odnosu na prosjek Republike Hrvatske. U dugoročnom razdoblju, te posebno u razdoblju od 2010.-201</w:t>
      </w:r>
      <w:r w:rsidR="008259CE" w:rsidRPr="00C0186C">
        <w:rPr>
          <w:rFonts w:ascii="Times New Roman" w:eastAsia="Calibri" w:hAnsi="Times New Roman" w:cs="Times New Roman"/>
          <w:sz w:val="24"/>
          <w:szCs w:val="24"/>
        </w:rPr>
        <w:t>9</w:t>
      </w:r>
      <w:r w:rsidRPr="00C0186C">
        <w:rPr>
          <w:rFonts w:ascii="Times New Roman" w:eastAsia="Calibri" w:hAnsi="Times New Roman" w:cs="Times New Roman"/>
          <w:sz w:val="24"/>
          <w:szCs w:val="24"/>
        </w:rPr>
        <w:t>. godine i svi ostali demografski pokazatelji na potpomognutim područjima Republike Hrvatske ukazuju na negativna kretanja, što upućuje na zaključak o povećanju regionalnih divergencija na prostoru Republike Hrvatske. U tom smislu, ocjena je da dosadašnji sustav poticajnih mjera nije imao zadovoljavajuće i očekivane rezultate revitalizacije stanovništva na potpomognutim područjima Republike Hrvatske.</w:t>
      </w:r>
    </w:p>
    <w:p w14:paraId="234DF643" w14:textId="77777777" w:rsidR="00145138" w:rsidRPr="00C0186C" w:rsidRDefault="00145138" w:rsidP="00B70EE8">
      <w:pPr>
        <w:pStyle w:val="ListParagraph"/>
        <w:numPr>
          <w:ilvl w:val="0"/>
          <w:numId w:val="3"/>
        </w:numPr>
        <w:spacing w:before="0" w:after="120"/>
        <w:contextualSpacing w:val="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rPr>
        <w:t>U razdoblju 2010.-201</w:t>
      </w:r>
      <w:r w:rsidR="008259CE" w:rsidRPr="00C0186C">
        <w:rPr>
          <w:rFonts w:ascii="Times New Roman" w:eastAsia="Calibri" w:hAnsi="Times New Roman" w:cs="Times New Roman"/>
          <w:sz w:val="24"/>
          <w:szCs w:val="24"/>
        </w:rPr>
        <w:t>9</w:t>
      </w:r>
      <w:r w:rsidRPr="00C0186C">
        <w:rPr>
          <w:rFonts w:ascii="Times New Roman" w:eastAsia="Calibri" w:hAnsi="Times New Roman" w:cs="Times New Roman"/>
          <w:sz w:val="24"/>
          <w:szCs w:val="24"/>
        </w:rPr>
        <w:t>. ekonomski pokazatelji na potpomognutim područjima u usporedbi sa kretanjima na nacionalnoj razini, ukazuju na daljnji porast regionalnih divergencija. Temeljem toga, moguće je zaključiti da dosadašnji sustav državnih poticaja nije polučio zadovoljavajuće rezultate u području gospodarskog rasta i održivog razvitka potpomognutih područja Republike Hrvatske.</w:t>
      </w:r>
    </w:p>
    <w:p w14:paraId="24BB224E" w14:textId="2996310C" w:rsidR="001D0706" w:rsidRPr="00D22350" w:rsidRDefault="00145138" w:rsidP="00D22350">
      <w:pPr>
        <w:pStyle w:val="ListParagraph"/>
        <w:numPr>
          <w:ilvl w:val="0"/>
          <w:numId w:val="3"/>
        </w:numPr>
        <w:spacing w:before="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rPr>
        <w:t>Nominalne i relativne vrijednosti ukupno ostvarenog dohotka i proračunskih prihoda u razdoblju od 2008.-201</w:t>
      </w:r>
      <w:r w:rsidR="008259CE" w:rsidRPr="00C0186C">
        <w:rPr>
          <w:rFonts w:ascii="Times New Roman" w:eastAsia="Calibri" w:hAnsi="Times New Roman" w:cs="Times New Roman"/>
          <w:sz w:val="24"/>
          <w:szCs w:val="24"/>
        </w:rPr>
        <w:t>9</w:t>
      </w:r>
      <w:r w:rsidRPr="00C0186C">
        <w:rPr>
          <w:rFonts w:ascii="Times New Roman" w:eastAsia="Calibri" w:hAnsi="Times New Roman" w:cs="Times New Roman"/>
          <w:sz w:val="24"/>
          <w:szCs w:val="24"/>
        </w:rPr>
        <w:t>. godine na PP</w:t>
      </w:r>
      <w:r w:rsidR="007E7F19" w:rsidRPr="00C0186C">
        <w:rPr>
          <w:rFonts w:ascii="Times New Roman" w:eastAsia="Calibri" w:hAnsi="Times New Roman" w:cs="Times New Roman"/>
          <w:sz w:val="24"/>
          <w:szCs w:val="24"/>
        </w:rPr>
        <w:t>-u</w:t>
      </w:r>
      <w:r w:rsidRPr="00C0186C">
        <w:rPr>
          <w:rFonts w:ascii="Times New Roman" w:eastAsia="Calibri" w:hAnsi="Times New Roman" w:cs="Times New Roman"/>
          <w:sz w:val="24"/>
          <w:szCs w:val="24"/>
        </w:rPr>
        <w:t xml:space="preserve"> su rasle. Međutim, 201</w:t>
      </w:r>
      <w:r w:rsidR="008259CE" w:rsidRPr="00C0186C">
        <w:rPr>
          <w:rFonts w:ascii="Times New Roman" w:eastAsia="Calibri" w:hAnsi="Times New Roman" w:cs="Times New Roman"/>
          <w:sz w:val="24"/>
          <w:szCs w:val="24"/>
        </w:rPr>
        <w:t>9</w:t>
      </w:r>
      <w:r w:rsidRPr="00C0186C">
        <w:rPr>
          <w:rFonts w:ascii="Times New Roman" w:eastAsia="Calibri" w:hAnsi="Times New Roman" w:cs="Times New Roman"/>
          <w:sz w:val="24"/>
          <w:szCs w:val="24"/>
        </w:rPr>
        <w:t>. godine ostvareni dohodak po stanovniku na PP</w:t>
      </w:r>
      <w:r w:rsidR="007E7F19" w:rsidRPr="00C0186C">
        <w:rPr>
          <w:rFonts w:ascii="Times New Roman" w:eastAsia="Calibri" w:hAnsi="Times New Roman" w:cs="Times New Roman"/>
          <w:sz w:val="24"/>
          <w:szCs w:val="24"/>
        </w:rPr>
        <w:t>-u</w:t>
      </w:r>
      <w:r w:rsidRPr="00C0186C">
        <w:rPr>
          <w:rFonts w:ascii="Times New Roman" w:eastAsia="Calibri" w:hAnsi="Times New Roman" w:cs="Times New Roman"/>
          <w:sz w:val="24"/>
          <w:szCs w:val="24"/>
        </w:rPr>
        <w:t xml:space="preserve"> i dalje značajno zaostaje za RH. Zbog toga je moguće zaključiti da unatoč pozitivnim promjenama apsolutnih i relativnih pokazatelja dohotka i proračunskih prihoda,</w:t>
      </w:r>
      <w:r w:rsidR="008F0D0F" w:rsidRPr="00C0186C">
        <w:rPr>
          <w:rFonts w:ascii="Times New Roman" w:eastAsia="Calibri" w:hAnsi="Times New Roman" w:cs="Times New Roman"/>
          <w:sz w:val="24"/>
          <w:szCs w:val="24"/>
        </w:rPr>
        <w:t xml:space="preserve"> posebno u razdoblju 2015.-2019. godine,</w:t>
      </w:r>
      <w:r w:rsidRPr="00C0186C">
        <w:rPr>
          <w:rFonts w:ascii="Times New Roman" w:eastAsia="Calibri" w:hAnsi="Times New Roman" w:cs="Times New Roman"/>
          <w:sz w:val="24"/>
          <w:szCs w:val="24"/>
        </w:rPr>
        <w:t xml:space="preserve"> nije došlo do očekivanog porasta kupovne moći i životnog standarda stanovništva na PP</w:t>
      </w:r>
      <w:r w:rsidR="007E7F19" w:rsidRPr="00C0186C">
        <w:rPr>
          <w:rFonts w:ascii="Times New Roman" w:eastAsia="Calibri" w:hAnsi="Times New Roman" w:cs="Times New Roman"/>
          <w:sz w:val="24"/>
          <w:szCs w:val="24"/>
        </w:rPr>
        <w:t>-u</w:t>
      </w:r>
      <w:r w:rsidRPr="00C0186C">
        <w:rPr>
          <w:rFonts w:ascii="Times New Roman" w:eastAsia="Calibri" w:hAnsi="Times New Roman" w:cs="Times New Roman"/>
          <w:sz w:val="24"/>
          <w:szCs w:val="24"/>
        </w:rPr>
        <w:t xml:space="preserve">, kao niti do željenih konvergencijskih procesa u odnosu na nacionalni prosjek. </w:t>
      </w:r>
    </w:p>
    <w:p w14:paraId="3A1FCF32" w14:textId="14CB25D3" w:rsidR="008F7BE7" w:rsidRPr="00C0186C" w:rsidRDefault="00145138" w:rsidP="00B70EE8">
      <w:pPr>
        <w:spacing w:before="0" w:after="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rPr>
        <w:t>N</w:t>
      </w:r>
      <w:r w:rsidR="001D0706" w:rsidRPr="00C0186C">
        <w:rPr>
          <w:rFonts w:ascii="Times New Roman" w:eastAsia="Calibri" w:hAnsi="Times New Roman" w:cs="Times New Roman"/>
          <w:sz w:val="24"/>
          <w:szCs w:val="24"/>
        </w:rPr>
        <w:t xml:space="preserve">alazi </w:t>
      </w:r>
      <w:r w:rsidRPr="00C0186C">
        <w:rPr>
          <w:rFonts w:ascii="Times New Roman" w:eastAsia="Calibri" w:hAnsi="Times New Roman" w:cs="Times New Roman"/>
          <w:sz w:val="24"/>
          <w:szCs w:val="24"/>
        </w:rPr>
        <w:t xml:space="preserve">izvršenih analiza </w:t>
      </w:r>
      <w:r w:rsidR="001D0706" w:rsidRPr="00C0186C">
        <w:rPr>
          <w:rFonts w:ascii="Times New Roman" w:eastAsia="Calibri" w:hAnsi="Times New Roman" w:cs="Times New Roman"/>
          <w:sz w:val="24"/>
          <w:szCs w:val="24"/>
        </w:rPr>
        <w:t>upućuju na zaključak da dos</w:t>
      </w:r>
      <w:r w:rsidRPr="00C0186C">
        <w:rPr>
          <w:rFonts w:ascii="Times New Roman" w:eastAsia="Calibri" w:hAnsi="Times New Roman" w:cs="Times New Roman"/>
          <w:sz w:val="24"/>
          <w:szCs w:val="24"/>
        </w:rPr>
        <w:t xml:space="preserve">adašnji sustav potpora razvoju </w:t>
      </w:r>
      <w:r w:rsidR="001D0706" w:rsidRPr="00C0186C">
        <w:rPr>
          <w:rFonts w:ascii="Times New Roman" w:eastAsia="Calibri" w:hAnsi="Times New Roman" w:cs="Times New Roman"/>
          <w:sz w:val="24"/>
          <w:szCs w:val="24"/>
        </w:rPr>
        <w:t>PP</w:t>
      </w:r>
      <w:r w:rsidR="008621AB">
        <w:rPr>
          <w:rFonts w:ascii="Times New Roman" w:eastAsia="Calibri" w:hAnsi="Times New Roman" w:cs="Times New Roman"/>
          <w:sz w:val="24"/>
          <w:szCs w:val="24"/>
        </w:rPr>
        <w:t>-a</w:t>
      </w:r>
      <w:r w:rsidR="001D0706" w:rsidRPr="00C0186C">
        <w:rPr>
          <w:rFonts w:ascii="Times New Roman" w:eastAsia="Calibri" w:hAnsi="Times New Roman" w:cs="Times New Roman"/>
          <w:sz w:val="24"/>
          <w:szCs w:val="24"/>
        </w:rPr>
        <w:t>, posebice s aspekta naveden</w:t>
      </w:r>
      <w:r w:rsidR="007E7F19" w:rsidRPr="00C0186C">
        <w:rPr>
          <w:rFonts w:ascii="Times New Roman" w:eastAsia="Calibri" w:hAnsi="Times New Roman" w:cs="Times New Roman"/>
          <w:sz w:val="24"/>
          <w:szCs w:val="24"/>
        </w:rPr>
        <w:t>ih</w:t>
      </w:r>
      <w:r w:rsidR="001D0706" w:rsidRPr="00C0186C">
        <w:rPr>
          <w:rFonts w:ascii="Times New Roman" w:eastAsia="Calibri" w:hAnsi="Times New Roman" w:cs="Times New Roman"/>
          <w:sz w:val="24"/>
          <w:szCs w:val="24"/>
        </w:rPr>
        <w:t xml:space="preserve"> tri</w:t>
      </w:r>
      <w:r w:rsidR="007E7F19" w:rsidRPr="00C0186C">
        <w:rPr>
          <w:rFonts w:ascii="Times New Roman" w:eastAsia="Calibri" w:hAnsi="Times New Roman" w:cs="Times New Roman"/>
          <w:sz w:val="24"/>
          <w:szCs w:val="24"/>
        </w:rPr>
        <w:t>ju</w:t>
      </w:r>
      <w:r w:rsidR="001D0706" w:rsidRPr="00C0186C">
        <w:rPr>
          <w:rFonts w:ascii="Times New Roman" w:eastAsia="Calibri" w:hAnsi="Times New Roman" w:cs="Times New Roman"/>
          <w:sz w:val="24"/>
          <w:szCs w:val="24"/>
        </w:rPr>
        <w:t xml:space="preserve"> ključn</w:t>
      </w:r>
      <w:r w:rsidR="007E7F19" w:rsidRPr="00C0186C">
        <w:rPr>
          <w:rFonts w:ascii="Times New Roman" w:eastAsia="Calibri" w:hAnsi="Times New Roman" w:cs="Times New Roman"/>
          <w:sz w:val="24"/>
          <w:szCs w:val="24"/>
        </w:rPr>
        <w:t>ih</w:t>
      </w:r>
      <w:r w:rsidR="001D0706" w:rsidRPr="00C0186C">
        <w:rPr>
          <w:rFonts w:ascii="Times New Roman" w:eastAsia="Calibri" w:hAnsi="Times New Roman" w:cs="Times New Roman"/>
          <w:sz w:val="24"/>
          <w:szCs w:val="24"/>
        </w:rPr>
        <w:t xml:space="preserve"> cilj</w:t>
      </w:r>
      <w:r w:rsidR="007E7F19" w:rsidRPr="00C0186C">
        <w:rPr>
          <w:rFonts w:ascii="Times New Roman" w:eastAsia="Calibri" w:hAnsi="Times New Roman" w:cs="Times New Roman"/>
          <w:sz w:val="24"/>
          <w:szCs w:val="24"/>
        </w:rPr>
        <w:t>eva</w:t>
      </w:r>
      <w:r w:rsidR="001D0706" w:rsidRPr="00C0186C">
        <w:rPr>
          <w:rFonts w:ascii="Times New Roman" w:eastAsia="Calibri" w:hAnsi="Times New Roman" w:cs="Times New Roman"/>
          <w:sz w:val="24"/>
          <w:szCs w:val="24"/>
        </w:rPr>
        <w:t>, nije imao zadovoljavajuće efekt</w:t>
      </w:r>
      <w:r w:rsidR="007E7F19" w:rsidRPr="00C0186C">
        <w:rPr>
          <w:rFonts w:ascii="Times New Roman" w:eastAsia="Calibri" w:hAnsi="Times New Roman" w:cs="Times New Roman"/>
          <w:sz w:val="24"/>
          <w:szCs w:val="24"/>
        </w:rPr>
        <w:t>e</w:t>
      </w:r>
      <w:r w:rsidR="001D0706" w:rsidRPr="00C0186C">
        <w:rPr>
          <w:rFonts w:ascii="Times New Roman" w:eastAsia="Calibri" w:hAnsi="Times New Roman" w:cs="Times New Roman"/>
          <w:sz w:val="24"/>
          <w:szCs w:val="24"/>
        </w:rPr>
        <w:t xml:space="preserve">. Zapravo je u dugoročnom razdoblju došlo do značajnog pogoršanja demografskih kretanja, a ne demografske revitalizacije, te su se na tom području regionalne nejednakosti povećale. Ostvareni efekti mjera na gospodarski rast i razvoj također su negativni, što najbolje argumentiraju pokazatelji </w:t>
      </w:r>
      <w:r w:rsidR="00381A94" w:rsidRPr="00C0186C">
        <w:rPr>
          <w:rFonts w:ascii="Times New Roman" w:eastAsia="Calibri" w:hAnsi="Times New Roman" w:cs="Times New Roman"/>
          <w:sz w:val="24"/>
          <w:szCs w:val="24"/>
        </w:rPr>
        <w:t>kretanja za</w:t>
      </w:r>
      <w:r w:rsidRPr="00C0186C">
        <w:rPr>
          <w:rFonts w:ascii="Times New Roman" w:eastAsia="Calibri" w:hAnsi="Times New Roman" w:cs="Times New Roman"/>
          <w:sz w:val="24"/>
          <w:szCs w:val="24"/>
        </w:rPr>
        <w:t xml:space="preserve">poslenosti i nezaposlenosti na </w:t>
      </w:r>
      <w:r w:rsidR="00381A94" w:rsidRPr="00C0186C">
        <w:rPr>
          <w:rFonts w:ascii="Times New Roman" w:eastAsia="Calibri" w:hAnsi="Times New Roman" w:cs="Times New Roman"/>
          <w:sz w:val="24"/>
          <w:szCs w:val="24"/>
        </w:rPr>
        <w:t>PP</w:t>
      </w:r>
      <w:r w:rsidR="001D0706" w:rsidRPr="00C0186C">
        <w:rPr>
          <w:rFonts w:ascii="Times New Roman" w:eastAsia="Calibri" w:hAnsi="Times New Roman" w:cs="Times New Roman"/>
          <w:sz w:val="24"/>
          <w:szCs w:val="24"/>
        </w:rPr>
        <w:t>.</w:t>
      </w:r>
      <w:r w:rsidR="007B1191" w:rsidRPr="00C0186C">
        <w:rPr>
          <w:rFonts w:ascii="Times New Roman" w:eastAsia="Calibri" w:hAnsi="Times New Roman" w:cs="Times New Roman"/>
          <w:sz w:val="24"/>
          <w:szCs w:val="24"/>
        </w:rPr>
        <w:t xml:space="preserve"> </w:t>
      </w:r>
      <w:r w:rsidR="001D0706" w:rsidRPr="00C0186C">
        <w:rPr>
          <w:rFonts w:ascii="Times New Roman" w:eastAsia="Calibri" w:hAnsi="Times New Roman" w:cs="Times New Roman"/>
          <w:sz w:val="24"/>
          <w:szCs w:val="24"/>
        </w:rPr>
        <w:t xml:space="preserve">Ukupnost demografskih i ekonomskih kretanja utjecala je </w:t>
      </w:r>
      <w:r w:rsidR="00B74E6C" w:rsidRPr="00C0186C">
        <w:rPr>
          <w:rFonts w:ascii="Times New Roman" w:eastAsia="Calibri" w:hAnsi="Times New Roman" w:cs="Times New Roman"/>
          <w:sz w:val="24"/>
          <w:szCs w:val="24"/>
        </w:rPr>
        <w:t>na kupovnu moć i životni standard</w:t>
      </w:r>
      <w:r w:rsidR="001D0706" w:rsidRPr="00C0186C">
        <w:rPr>
          <w:rFonts w:ascii="Times New Roman" w:eastAsia="Calibri" w:hAnsi="Times New Roman" w:cs="Times New Roman"/>
          <w:sz w:val="24"/>
          <w:szCs w:val="24"/>
        </w:rPr>
        <w:t xml:space="preserve"> stanovništva PP</w:t>
      </w:r>
      <w:r w:rsidR="007E7F19" w:rsidRPr="00C0186C">
        <w:rPr>
          <w:rFonts w:ascii="Times New Roman" w:eastAsia="Calibri" w:hAnsi="Times New Roman" w:cs="Times New Roman"/>
          <w:sz w:val="24"/>
          <w:szCs w:val="24"/>
        </w:rPr>
        <w:t>-a</w:t>
      </w:r>
      <w:r w:rsidR="001D0706" w:rsidRPr="00C0186C">
        <w:rPr>
          <w:rFonts w:ascii="Times New Roman" w:eastAsia="Calibri" w:hAnsi="Times New Roman" w:cs="Times New Roman"/>
          <w:sz w:val="24"/>
          <w:szCs w:val="24"/>
        </w:rPr>
        <w:t>, te je i na tom području došlo do pov</w:t>
      </w:r>
      <w:r w:rsidR="00B40319" w:rsidRPr="00C0186C">
        <w:rPr>
          <w:rFonts w:ascii="Times New Roman" w:eastAsia="Calibri" w:hAnsi="Times New Roman" w:cs="Times New Roman"/>
          <w:sz w:val="24"/>
          <w:szCs w:val="24"/>
        </w:rPr>
        <w:t xml:space="preserve">ećanja razvojnih divergencija. </w:t>
      </w:r>
    </w:p>
    <w:p w14:paraId="715C93BB" w14:textId="77777777" w:rsidR="00B40319" w:rsidRPr="00C0186C" w:rsidRDefault="00B40319" w:rsidP="00B70EE8">
      <w:pPr>
        <w:spacing w:before="0" w:after="0"/>
        <w:jc w:val="both"/>
        <w:rPr>
          <w:rFonts w:ascii="Times New Roman" w:eastAsia="Calibri" w:hAnsi="Times New Roman" w:cs="Times New Roman"/>
          <w:sz w:val="24"/>
          <w:szCs w:val="24"/>
        </w:rPr>
      </w:pPr>
    </w:p>
    <w:p w14:paraId="079C57EF" w14:textId="69B455A2" w:rsidR="008F7BE7" w:rsidRDefault="00DD0C33" w:rsidP="0048160A">
      <w:pPr>
        <w:spacing w:before="0" w:after="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rPr>
        <w:t xml:space="preserve">Grafikon </w:t>
      </w:r>
      <w:r w:rsidR="008F7BE7" w:rsidRPr="00C0186C">
        <w:rPr>
          <w:rFonts w:ascii="Times New Roman" w:eastAsia="Calibri" w:hAnsi="Times New Roman" w:cs="Times New Roman"/>
          <w:sz w:val="24"/>
          <w:szCs w:val="24"/>
        </w:rPr>
        <w:t>1. prikazuje kretanje prihoda od pomoći u svim lokalnim samoupravama Republike Hrvatske te u jedinicama lokalne samouprave sa statusom potpomognutog područja. Mo</w:t>
      </w:r>
      <w:r w:rsidR="00B921FC" w:rsidRPr="00C0186C">
        <w:rPr>
          <w:rFonts w:ascii="Times New Roman" w:eastAsia="Calibri" w:hAnsi="Times New Roman" w:cs="Times New Roman"/>
          <w:sz w:val="24"/>
          <w:szCs w:val="24"/>
        </w:rPr>
        <w:t>gu</w:t>
      </w:r>
      <w:r w:rsidR="008F7BE7" w:rsidRPr="00C0186C">
        <w:rPr>
          <w:rFonts w:ascii="Times New Roman" w:eastAsia="Calibri" w:hAnsi="Times New Roman" w:cs="Times New Roman"/>
          <w:sz w:val="24"/>
          <w:szCs w:val="24"/>
        </w:rPr>
        <w:t xml:space="preserve"> se uočiti dva izražena razdoblja. U prvom razdoblju tijekom trajanja ekonomsko-financijske krize, sve do 2014. godine razina pomoći (uglavnom središnje države) bilježila je stagnaciju na razini ukupnog lokalnog javnog sektora, a pad pomoći posebno je bio izražen upravo u lokalnim samoupravama potpomognutog područja. Stoga, možemo pretpostaviti da su asimetrični učinci krize na potpomognutim područjima koji su doveli do ubrzanog pada dohotka, proračunskih prihoda te natprosječne stope iseljavanja stanovništva dijelom izazvani i značajnim smanjenjem pomoći. Drugo razdoblje kreće od 2014. godine od kada je vidljiv značajan rast apsolutne razine primljenih pomoći te se temelji na povećanim transferima središnje države, ali i značajnim rastom pomoći u okviru programa fondova Europske unije. 2018. godine razina pomoći značajno opada u okviru primjene novog modela financiranja jedinica lokalne i područne (regionalne) samouprave gdje su ukupni prihodi od poreza na dohodak pripali lokalnim samoupravama te značajno povećali lokalne proračune dok su se istovremeno prihodi od pomoći smanjili. </w:t>
      </w:r>
    </w:p>
    <w:p w14:paraId="46460E34" w14:textId="01E4736D" w:rsidR="0048160A" w:rsidRDefault="0048160A" w:rsidP="0048160A">
      <w:pPr>
        <w:spacing w:before="0" w:after="0"/>
        <w:jc w:val="both"/>
        <w:rPr>
          <w:rFonts w:ascii="Times New Roman" w:eastAsia="Calibri" w:hAnsi="Times New Roman" w:cs="Times New Roman"/>
          <w:sz w:val="24"/>
          <w:szCs w:val="24"/>
        </w:rPr>
      </w:pPr>
    </w:p>
    <w:p w14:paraId="342CDCD0" w14:textId="381FE498" w:rsidR="00D22350" w:rsidRDefault="00D22350" w:rsidP="0048160A">
      <w:pPr>
        <w:spacing w:before="0" w:after="0"/>
        <w:jc w:val="both"/>
        <w:rPr>
          <w:rFonts w:ascii="Times New Roman" w:eastAsia="Calibri" w:hAnsi="Times New Roman" w:cs="Times New Roman"/>
          <w:sz w:val="24"/>
          <w:szCs w:val="24"/>
        </w:rPr>
      </w:pPr>
    </w:p>
    <w:p w14:paraId="3A915B35" w14:textId="7564DEBC" w:rsidR="00D22350" w:rsidRDefault="00D22350" w:rsidP="0048160A">
      <w:pPr>
        <w:spacing w:before="0" w:after="0"/>
        <w:jc w:val="both"/>
        <w:rPr>
          <w:rFonts w:ascii="Times New Roman" w:eastAsia="Calibri" w:hAnsi="Times New Roman" w:cs="Times New Roman"/>
          <w:sz w:val="24"/>
          <w:szCs w:val="24"/>
        </w:rPr>
      </w:pPr>
    </w:p>
    <w:p w14:paraId="39C1D460" w14:textId="5BFD26F0" w:rsidR="00D22350" w:rsidRDefault="00D22350" w:rsidP="0048160A">
      <w:pPr>
        <w:spacing w:before="0" w:after="0"/>
        <w:jc w:val="both"/>
        <w:rPr>
          <w:rFonts w:ascii="Times New Roman" w:eastAsia="Calibri" w:hAnsi="Times New Roman" w:cs="Times New Roman"/>
          <w:sz w:val="24"/>
          <w:szCs w:val="24"/>
        </w:rPr>
      </w:pPr>
    </w:p>
    <w:p w14:paraId="19CBAAA5" w14:textId="355E2D2C" w:rsidR="00D22350" w:rsidRDefault="00D22350" w:rsidP="0048160A">
      <w:pPr>
        <w:spacing w:before="0" w:after="0"/>
        <w:jc w:val="both"/>
        <w:rPr>
          <w:rFonts w:ascii="Times New Roman" w:eastAsia="Calibri" w:hAnsi="Times New Roman" w:cs="Times New Roman"/>
          <w:sz w:val="24"/>
          <w:szCs w:val="24"/>
        </w:rPr>
      </w:pPr>
    </w:p>
    <w:p w14:paraId="78F7B16B" w14:textId="515E5E2A" w:rsidR="00D22350" w:rsidRDefault="00D22350" w:rsidP="0048160A">
      <w:pPr>
        <w:spacing w:before="0" w:after="0"/>
        <w:jc w:val="both"/>
        <w:rPr>
          <w:rFonts w:ascii="Times New Roman" w:eastAsia="Calibri" w:hAnsi="Times New Roman" w:cs="Times New Roman"/>
          <w:sz w:val="24"/>
          <w:szCs w:val="24"/>
        </w:rPr>
      </w:pPr>
    </w:p>
    <w:p w14:paraId="2C4F5AAF" w14:textId="7B56B4DA" w:rsidR="00D22350" w:rsidRDefault="00D22350" w:rsidP="0048160A">
      <w:pPr>
        <w:spacing w:before="0" w:after="0"/>
        <w:jc w:val="both"/>
        <w:rPr>
          <w:rFonts w:ascii="Times New Roman" w:eastAsia="Calibri" w:hAnsi="Times New Roman" w:cs="Times New Roman"/>
          <w:sz w:val="24"/>
          <w:szCs w:val="24"/>
        </w:rPr>
      </w:pPr>
    </w:p>
    <w:p w14:paraId="486501C3" w14:textId="66016556" w:rsidR="00D22350" w:rsidRDefault="00D22350" w:rsidP="0048160A">
      <w:pPr>
        <w:spacing w:before="0" w:after="0"/>
        <w:jc w:val="both"/>
        <w:rPr>
          <w:rFonts w:ascii="Times New Roman" w:eastAsia="Calibri" w:hAnsi="Times New Roman" w:cs="Times New Roman"/>
          <w:sz w:val="24"/>
          <w:szCs w:val="24"/>
        </w:rPr>
      </w:pPr>
    </w:p>
    <w:p w14:paraId="5E9989BA" w14:textId="43459D94" w:rsidR="00D22350" w:rsidRDefault="00D22350" w:rsidP="0048160A">
      <w:pPr>
        <w:spacing w:before="0" w:after="0"/>
        <w:jc w:val="both"/>
        <w:rPr>
          <w:rFonts w:ascii="Times New Roman" w:eastAsia="Calibri" w:hAnsi="Times New Roman" w:cs="Times New Roman"/>
          <w:sz w:val="24"/>
          <w:szCs w:val="24"/>
        </w:rPr>
      </w:pPr>
    </w:p>
    <w:p w14:paraId="60BB1E04" w14:textId="057B64D6" w:rsidR="00D22350" w:rsidRDefault="00D22350" w:rsidP="0048160A">
      <w:pPr>
        <w:spacing w:before="0" w:after="0"/>
        <w:jc w:val="both"/>
        <w:rPr>
          <w:rFonts w:ascii="Times New Roman" w:eastAsia="Calibri" w:hAnsi="Times New Roman" w:cs="Times New Roman"/>
          <w:sz w:val="24"/>
          <w:szCs w:val="24"/>
        </w:rPr>
      </w:pPr>
    </w:p>
    <w:p w14:paraId="69D81000" w14:textId="77777777" w:rsidR="00D22350" w:rsidRPr="00C0186C" w:rsidRDefault="00D22350" w:rsidP="0048160A">
      <w:pPr>
        <w:spacing w:before="0" w:after="0"/>
        <w:jc w:val="both"/>
        <w:rPr>
          <w:rFonts w:ascii="Times New Roman" w:eastAsia="Calibri" w:hAnsi="Times New Roman" w:cs="Times New Roman"/>
          <w:sz w:val="24"/>
          <w:szCs w:val="24"/>
        </w:rPr>
      </w:pPr>
    </w:p>
    <w:p w14:paraId="13E62DFD" w14:textId="77777777" w:rsidR="008F7BE7" w:rsidRPr="00DF5007" w:rsidRDefault="00DD0C33" w:rsidP="0048160A">
      <w:pPr>
        <w:spacing w:before="0" w:after="0"/>
        <w:jc w:val="both"/>
        <w:rPr>
          <w:rFonts w:ascii="Times New Roman" w:eastAsia="Calibri" w:hAnsi="Times New Roman" w:cs="Times New Roman"/>
          <w:sz w:val="22"/>
          <w:szCs w:val="22"/>
        </w:rPr>
      </w:pPr>
      <w:r w:rsidRPr="00DF5007">
        <w:rPr>
          <w:rFonts w:ascii="Times New Roman" w:eastAsia="Calibri" w:hAnsi="Times New Roman" w:cs="Times New Roman"/>
          <w:b/>
          <w:sz w:val="22"/>
          <w:szCs w:val="22"/>
        </w:rPr>
        <w:t xml:space="preserve">Grafikon </w:t>
      </w:r>
      <w:r w:rsidR="008F7BE7" w:rsidRPr="00DF5007">
        <w:rPr>
          <w:rFonts w:ascii="Times New Roman" w:eastAsia="Calibri" w:hAnsi="Times New Roman" w:cs="Times New Roman"/>
          <w:b/>
          <w:sz w:val="22"/>
          <w:szCs w:val="22"/>
        </w:rPr>
        <w:t>1.</w:t>
      </w:r>
      <w:r w:rsidR="008F7BE7" w:rsidRPr="00DF5007">
        <w:rPr>
          <w:rFonts w:ascii="Times New Roman" w:eastAsia="Calibri" w:hAnsi="Times New Roman" w:cs="Times New Roman"/>
          <w:sz w:val="22"/>
          <w:szCs w:val="22"/>
        </w:rPr>
        <w:t xml:space="preserve"> Kretanje prihoda od pomoći (ukupno i u jedinicama lokalne samouprave potpomognutih područja), u </w:t>
      </w:r>
      <w:proofErr w:type="spellStart"/>
      <w:r w:rsidR="008F7BE7" w:rsidRPr="00DF5007">
        <w:rPr>
          <w:rFonts w:ascii="Times New Roman" w:eastAsia="Calibri" w:hAnsi="Times New Roman" w:cs="Times New Roman"/>
          <w:sz w:val="22"/>
          <w:szCs w:val="22"/>
        </w:rPr>
        <w:t>mil</w:t>
      </w:r>
      <w:proofErr w:type="spellEnd"/>
      <w:r w:rsidR="008F7BE7" w:rsidRPr="00DF5007">
        <w:rPr>
          <w:rFonts w:ascii="Times New Roman" w:eastAsia="Calibri" w:hAnsi="Times New Roman" w:cs="Times New Roman"/>
          <w:sz w:val="22"/>
          <w:szCs w:val="22"/>
        </w:rPr>
        <w:t>. kn</w:t>
      </w:r>
    </w:p>
    <w:p w14:paraId="007F054D" w14:textId="77777777" w:rsidR="008F7BE7" w:rsidRPr="00C0186C" w:rsidRDefault="008F7BE7" w:rsidP="00B70EE8">
      <w:pPr>
        <w:spacing w:before="0" w:after="0"/>
        <w:jc w:val="center"/>
        <w:rPr>
          <w:rFonts w:ascii="Times New Roman" w:eastAsia="Calibri" w:hAnsi="Times New Roman" w:cs="Times New Roman"/>
          <w:sz w:val="24"/>
          <w:szCs w:val="24"/>
        </w:rPr>
      </w:pPr>
      <w:r w:rsidRPr="00C0186C">
        <w:rPr>
          <w:rFonts w:ascii="Times New Roman" w:hAnsi="Times New Roman" w:cs="Times New Roman"/>
          <w:noProof/>
          <w:sz w:val="24"/>
          <w:szCs w:val="24"/>
          <w:lang w:eastAsia="hr-HR"/>
        </w:rPr>
        <w:drawing>
          <wp:inline distT="0" distB="0" distL="0" distR="0" wp14:anchorId="70318B82" wp14:editId="37C1F03D">
            <wp:extent cx="5697415" cy="2743200"/>
            <wp:effectExtent l="0" t="0" r="17780" b="0"/>
            <wp:docPr id="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FB0BE7" w14:textId="77777777" w:rsidR="008F7BE7" w:rsidRPr="00C0186C" w:rsidRDefault="008F7BE7" w:rsidP="00B70EE8">
      <w:pPr>
        <w:spacing w:before="0" w:after="0"/>
        <w:jc w:val="both"/>
        <w:rPr>
          <w:rFonts w:ascii="Times New Roman" w:eastAsia="Calibri" w:hAnsi="Times New Roman" w:cs="Times New Roman"/>
        </w:rPr>
      </w:pPr>
      <w:r w:rsidRPr="00C0186C">
        <w:rPr>
          <w:rFonts w:ascii="Times New Roman" w:eastAsia="Calibri" w:hAnsi="Times New Roman" w:cs="Times New Roman"/>
        </w:rPr>
        <w:t>Izvor: Baza podataka Ministarstva financija</w:t>
      </w:r>
    </w:p>
    <w:p w14:paraId="710467D8" w14:textId="60EDBE15" w:rsidR="008F7BE7" w:rsidRDefault="008F7BE7" w:rsidP="00B70EE8">
      <w:pPr>
        <w:spacing w:before="0" w:after="0"/>
        <w:jc w:val="both"/>
        <w:rPr>
          <w:rFonts w:ascii="Times New Roman" w:eastAsia="Calibri" w:hAnsi="Times New Roman" w:cs="Times New Roman"/>
          <w:sz w:val="24"/>
          <w:szCs w:val="24"/>
        </w:rPr>
      </w:pPr>
    </w:p>
    <w:p w14:paraId="5110C763" w14:textId="77777777" w:rsidR="008F7BE7" w:rsidRPr="00C0186C" w:rsidRDefault="00DD0C33" w:rsidP="00B70EE8">
      <w:pPr>
        <w:spacing w:before="0" w:after="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rPr>
        <w:t xml:space="preserve">Grafikon </w:t>
      </w:r>
      <w:r w:rsidR="008F7BE7" w:rsidRPr="00C0186C">
        <w:rPr>
          <w:rFonts w:ascii="Times New Roman" w:eastAsia="Calibri" w:hAnsi="Times New Roman" w:cs="Times New Roman"/>
          <w:sz w:val="24"/>
          <w:szCs w:val="24"/>
        </w:rPr>
        <w:t xml:space="preserve">2. prikazuje kretanje udjela primljene pomoći svih lokalnih jedinica </w:t>
      </w:r>
      <w:r w:rsidR="00B921FC" w:rsidRPr="00C0186C">
        <w:rPr>
          <w:rFonts w:ascii="Times New Roman" w:eastAsia="Calibri" w:hAnsi="Times New Roman" w:cs="Times New Roman"/>
          <w:sz w:val="24"/>
          <w:szCs w:val="24"/>
        </w:rPr>
        <w:t>s</w:t>
      </w:r>
      <w:r w:rsidR="008F7BE7" w:rsidRPr="00C0186C">
        <w:rPr>
          <w:rFonts w:ascii="Times New Roman" w:eastAsia="Calibri" w:hAnsi="Times New Roman" w:cs="Times New Roman"/>
          <w:sz w:val="24"/>
          <w:szCs w:val="24"/>
        </w:rPr>
        <w:t xml:space="preserve">a statusom potpomognutih područja u ukupnim pomoćima svih jedinica lokalne samouprave. Može se vidjeti rast udjela primljene pomoći do 2010. godine te, zatim, značajan pad u razdoblju od 2011. do 2014. godine. Nakon, 2015. godine ponovno slijedi rast te, ponovno, pad od 2018. godine pa nadalje. Ovakva kretanja svakako su rezultat brojnih činitelja kao što su različiti obuhvati slabije razvijenih područja, od nekadašnjih područja posebne državne skrbi do definicije potpomognutih područja koja se mijenjala s vremenom, s obzirom na metodologiju; zatim, različitih mjera u okviru relevantne regulative koja je utjecala na okomito (uglavnom u okviru poreza na dohodak) te vodoravno fiskalno izravnanje (raspodjelu pomoći); učincima ekonomsko-financijske krize koja je u većoj mjeri djelovala na gospodarstva slabije razvijenih područja te je dodatno smanjila kapacitet središnje države za fiskalno izravnanje. Međutim, čini se da je u prethodnom razdoblju izostala sustavna podrška slabije razvijenim područjima budući da su prihodi od pomoći izrazito nepredvidivi te </w:t>
      </w:r>
      <w:proofErr w:type="spellStart"/>
      <w:r w:rsidR="008F7BE7" w:rsidRPr="00C0186C">
        <w:rPr>
          <w:rFonts w:ascii="Times New Roman" w:eastAsia="Calibri" w:hAnsi="Times New Roman" w:cs="Times New Roman"/>
          <w:sz w:val="24"/>
          <w:szCs w:val="24"/>
        </w:rPr>
        <w:t>volatilni</w:t>
      </w:r>
      <w:proofErr w:type="spellEnd"/>
      <w:r w:rsidR="008F7BE7" w:rsidRPr="00C0186C">
        <w:rPr>
          <w:rFonts w:ascii="Times New Roman" w:eastAsia="Calibri" w:hAnsi="Times New Roman" w:cs="Times New Roman"/>
          <w:sz w:val="24"/>
          <w:szCs w:val="24"/>
        </w:rPr>
        <w:t xml:space="preserve"> što svakako nije povoljan okvir za provođenje srednjoročnih te dugoročnih programa i mjera za poticanje razvoja. </w:t>
      </w:r>
    </w:p>
    <w:p w14:paraId="10DB9311" w14:textId="20EABAED" w:rsidR="008F7BE7" w:rsidRDefault="008F7BE7" w:rsidP="0048160A">
      <w:pPr>
        <w:spacing w:before="0" w:after="0"/>
        <w:jc w:val="both"/>
        <w:rPr>
          <w:rFonts w:ascii="Times New Roman" w:eastAsia="Calibri" w:hAnsi="Times New Roman" w:cs="Times New Roman"/>
          <w:b/>
          <w:sz w:val="24"/>
          <w:szCs w:val="24"/>
        </w:rPr>
      </w:pPr>
    </w:p>
    <w:p w14:paraId="6811D14A" w14:textId="0E96F0C2" w:rsidR="00D22350" w:rsidRDefault="00D22350" w:rsidP="0048160A">
      <w:pPr>
        <w:spacing w:before="0" w:after="0"/>
        <w:jc w:val="both"/>
        <w:rPr>
          <w:rFonts w:ascii="Times New Roman" w:eastAsia="Calibri" w:hAnsi="Times New Roman" w:cs="Times New Roman"/>
          <w:b/>
          <w:sz w:val="24"/>
          <w:szCs w:val="24"/>
        </w:rPr>
      </w:pPr>
    </w:p>
    <w:p w14:paraId="4F9EF308" w14:textId="1FDE485C" w:rsidR="00D22350" w:rsidRDefault="00D22350" w:rsidP="0048160A">
      <w:pPr>
        <w:spacing w:before="0" w:after="0"/>
        <w:jc w:val="both"/>
        <w:rPr>
          <w:rFonts w:ascii="Times New Roman" w:eastAsia="Calibri" w:hAnsi="Times New Roman" w:cs="Times New Roman"/>
          <w:b/>
          <w:sz w:val="24"/>
          <w:szCs w:val="24"/>
        </w:rPr>
      </w:pPr>
    </w:p>
    <w:p w14:paraId="2D8AABB8" w14:textId="3BEA7175" w:rsidR="00D22350" w:rsidRDefault="00D22350" w:rsidP="0048160A">
      <w:pPr>
        <w:spacing w:before="0" w:after="0"/>
        <w:jc w:val="both"/>
        <w:rPr>
          <w:rFonts w:ascii="Times New Roman" w:eastAsia="Calibri" w:hAnsi="Times New Roman" w:cs="Times New Roman"/>
          <w:b/>
          <w:sz w:val="24"/>
          <w:szCs w:val="24"/>
        </w:rPr>
      </w:pPr>
    </w:p>
    <w:p w14:paraId="2C0F7783" w14:textId="6868A68B" w:rsidR="00D22350" w:rsidRDefault="00D22350" w:rsidP="0048160A">
      <w:pPr>
        <w:spacing w:before="0" w:after="0"/>
        <w:jc w:val="both"/>
        <w:rPr>
          <w:rFonts w:ascii="Times New Roman" w:eastAsia="Calibri" w:hAnsi="Times New Roman" w:cs="Times New Roman"/>
          <w:b/>
          <w:sz w:val="24"/>
          <w:szCs w:val="24"/>
        </w:rPr>
      </w:pPr>
    </w:p>
    <w:p w14:paraId="11CA070E" w14:textId="0E7D4E6C" w:rsidR="00D22350" w:rsidRDefault="00D22350" w:rsidP="0048160A">
      <w:pPr>
        <w:spacing w:before="0" w:after="0"/>
        <w:jc w:val="both"/>
        <w:rPr>
          <w:rFonts w:ascii="Times New Roman" w:eastAsia="Calibri" w:hAnsi="Times New Roman" w:cs="Times New Roman"/>
          <w:b/>
          <w:sz w:val="24"/>
          <w:szCs w:val="24"/>
        </w:rPr>
      </w:pPr>
    </w:p>
    <w:p w14:paraId="783650C2" w14:textId="56C52646" w:rsidR="00D22350" w:rsidRDefault="00D22350" w:rsidP="0048160A">
      <w:pPr>
        <w:spacing w:before="0" w:after="0"/>
        <w:jc w:val="both"/>
        <w:rPr>
          <w:rFonts w:ascii="Times New Roman" w:eastAsia="Calibri" w:hAnsi="Times New Roman" w:cs="Times New Roman"/>
          <w:b/>
          <w:sz w:val="24"/>
          <w:szCs w:val="24"/>
        </w:rPr>
      </w:pPr>
    </w:p>
    <w:p w14:paraId="645A38C0" w14:textId="743FF81C" w:rsidR="00D22350" w:rsidRDefault="00D22350" w:rsidP="0048160A">
      <w:pPr>
        <w:spacing w:before="0" w:after="0"/>
        <w:jc w:val="both"/>
        <w:rPr>
          <w:rFonts w:ascii="Times New Roman" w:eastAsia="Calibri" w:hAnsi="Times New Roman" w:cs="Times New Roman"/>
          <w:b/>
          <w:sz w:val="24"/>
          <w:szCs w:val="24"/>
        </w:rPr>
      </w:pPr>
    </w:p>
    <w:p w14:paraId="551E4C9F" w14:textId="066E52BF" w:rsidR="00D22350" w:rsidRDefault="00D22350" w:rsidP="0048160A">
      <w:pPr>
        <w:spacing w:before="0" w:after="0"/>
        <w:jc w:val="both"/>
        <w:rPr>
          <w:rFonts w:ascii="Times New Roman" w:eastAsia="Calibri" w:hAnsi="Times New Roman" w:cs="Times New Roman"/>
          <w:b/>
          <w:sz w:val="24"/>
          <w:szCs w:val="24"/>
        </w:rPr>
      </w:pPr>
    </w:p>
    <w:p w14:paraId="51691AD7" w14:textId="48377F73" w:rsidR="00D22350" w:rsidRDefault="00D22350" w:rsidP="0048160A">
      <w:pPr>
        <w:spacing w:before="0" w:after="0"/>
        <w:jc w:val="both"/>
        <w:rPr>
          <w:rFonts w:ascii="Times New Roman" w:eastAsia="Calibri" w:hAnsi="Times New Roman" w:cs="Times New Roman"/>
          <w:b/>
          <w:sz w:val="24"/>
          <w:szCs w:val="24"/>
        </w:rPr>
      </w:pPr>
    </w:p>
    <w:p w14:paraId="14213459" w14:textId="58E1FE71" w:rsidR="00D22350" w:rsidRDefault="00D22350" w:rsidP="0048160A">
      <w:pPr>
        <w:spacing w:before="0" w:after="0"/>
        <w:jc w:val="both"/>
        <w:rPr>
          <w:rFonts w:ascii="Times New Roman" w:eastAsia="Calibri" w:hAnsi="Times New Roman" w:cs="Times New Roman"/>
          <w:b/>
          <w:sz w:val="24"/>
          <w:szCs w:val="24"/>
        </w:rPr>
      </w:pPr>
    </w:p>
    <w:p w14:paraId="70EB1328" w14:textId="77777777" w:rsidR="00D22350" w:rsidRPr="00C0186C" w:rsidRDefault="00D22350" w:rsidP="0048160A">
      <w:pPr>
        <w:spacing w:before="0" w:after="0"/>
        <w:jc w:val="both"/>
        <w:rPr>
          <w:rFonts w:ascii="Times New Roman" w:eastAsia="Calibri" w:hAnsi="Times New Roman" w:cs="Times New Roman"/>
          <w:b/>
          <w:sz w:val="24"/>
          <w:szCs w:val="24"/>
        </w:rPr>
      </w:pPr>
    </w:p>
    <w:p w14:paraId="52A59C9C" w14:textId="05A1F143" w:rsidR="008F7BE7" w:rsidRPr="00DF5007" w:rsidRDefault="00DD0C33" w:rsidP="00D007A7">
      <w:pPr>
        <w:spacing w:before="0" w:after="0"/>
        <w:jc w:val="both"/>
        <w:rPr>
          <w:rFonts w:ascii="Times New Roman" w:eastAsia="Calibri" w:hAnsi="Times New Roman" w:cs="Times New Roman"/>
          <w:sz w:val="22"/>
          <w:szCs w:val="22"/>
        </w:rPr>
      </w:pPr>
      <w:r w:rsidRPr="00DF5007">
        <w:rPr>
          <w:rFonts w:ascii="Times New Roman" w:eastAsia="Calibri" w:hAnsi="Times New Roman" w:cs="Times New Roman"/>
          <w:b/>
          <w:sz w:val="22"/>
          <w:szCs w:val="22"/>
        </w:rPr>
        <w:t>Grafikon</w:t>
      </w:r>
      <w:r w:rsidR="00D007A7" w:rsidRPr="00DF5007">
        <w:rPr>
          <w:rFonts w:ascii="Times New Roman" w:eastAsia="Calibri" w:hAnsi="Times New Roman" w:cs="Times New Roman"/>
          <w:b/>
          <w:sz w:val="22"/>
          <w:szCs w:val="22"/>
        </w:rPr>
        <w:t xml:space="preserve"> </w:t>
      </w:r>
      <w:r w:rsidR="008F7BE7" w:rsidRPr="00DF5007">
        <w:rPr>
          <w:rFonts w:ascii="Times New Roman" w:eastAsia="Calibri" w:hAnsi="Times New Roman" w:cs="Times New Roman"/>
          <w:b/>
          <w:sz w:val="22"/>
          <w:szCs w:val="22"/>
        </w:rPr>
        <w:t>2</w:t>
      </w:r>
      <w:r w:rsidR="008F7BE7" w:rsidRPr="00DF5007">
        <w:rPr>
          <w:rFonts w:ascii="Times New Roman" w:eastAsia="Calibri" w:hAnsi="Times New Roman" w:cs="Times New Roman"/>
          <w:sz w:val="22"/>
          <w:szCs w:val="22"/>
        </w:rPr>
        <w:t>.:</w:t>
      </w:r>
      <w:r w:rsidR="0048160A" w:rsidRPr="00DF5007">
        <w:rPr>
          <w:rFonts w:ascii="Times New Roman" w:eastAsia="Calibri" w:hAnsi="Times New Roman" w:cs="Times New Roman"/>
          <w:sz w:val="22"/>
          <w:szCs w:val="22"/>
        </w:rPr>
        <w:t xml:space="preserve"> </w:t>
      </w:r>
      <w:r w:rsidR="008F7BE7" w:rsidRPr="00DF5007">
        <w:rPr>
          <w:rFonts w:ascii="Times New Roman" w:eastAsia="Calibri" w:hAnsi="Times New Roman" w:cs="Times New Roman"/>
          <w:sz w:val="22"/>
          <w:szCs w:val="22"/>
        </w:rPr>
        <w:t xml:space="preserve">Kretanje udjela primljene pomoći u jedinicama lokalne samouprave potpomognutih područja u ukupnim pomoćima svih jedinica lokalne samouprave, u </w:t>
      </w:r>
      <w:proofErr w:type="spellStart"/>
      <w:r w:rsidR="008F7BE7" w:rsidRPr="00DF5007">
        <w:rPr>
          <w:rFonts w:ascii="Times New Roman" w:eastAsia="Calibri" w:hAnsi="Times New Roman" w:cs="Times New Roman"/>
          <w:sz w:val="22"/>
          <w:szCs w:val="22"/>
        </w:rPr>
        <w:t>mil</w:t>
      </w:r>
      <w:proofErr w:type="spellEnd"/>
      <w:r w:rsidR="008F7BE7" w:rsidRPr="00DF5007">
        <w:rPr>
          <w:rFonts w:ascii="Times New Roman" w:eastAsia="Calibri" w:hAnsi="Times New Roman" w:cs="Times New Roman"/>
          <w:sz w:val="22"/>
          <w:szCs w:val="22"/>
        </w:rPr>
        <w:t>. kn</w:t>
      </w:r>
    </w:p>
    <w:p w14:paraId="3675F7AC" w14:textId="77777777" w:rsidR="008F7BE7" w:rsidRPr="00C0186C" w:rsidRDefault="008F7BE7" w:rsidP="0048160A">
      <w:pPr>
        <w:spacing w:before="0" w:after="0"/>
        <w:jc w:val="center"/>
        <w:rPr>
          <w:rFonts w:ascii="Times New Roman" w:eastAsia="Calibri" w:hAnsi="Times New Roman" w:cs="Times New Roman"/>
          <w:sz w:val="24"/>
          <w:szCs w:val="24"/>
          <w:lang w:eastAsia="hr-HR"/>
        </w:rPr>
      </w:pPr>
      <w:r w:rsidRPr="00C0186C">
        <w:rPr>
          <w:rFonts w:ascii="Times New Roman" w:hAnsi="Times New Roman" w:cs="Times New Roman"/>
          <w:noProof/>
          <w:sz w:val="24"/>
          <w:szCs w:val="24"/>
          <w:lang w:eastAsia="hr-HR"/>
        </w:rPr>
        <w:drawing>
          <wp:inline distT="0" distB="0" distL="0" distR="0" wp14:anchorId="262A314C" wp14:editId="3BB201FB">
            <wp:extent cx="5653454" cy="2743200"/>
            <wp:effectExtent l="0" t="0" r="4445" b="0"/>
            <wp:docPr id="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AB43A5" w14:textId="7EF87B7D" w:rsidR="008F7BE7" w:rsidRPr="00C0186C" w:rsidRDefault="008F7BE7" w:rsidP="0048160A">
      <w:pPr>
        <w:spacing w:before="0" w:after="0"/>
        <w:jc w:val="both"/>
        <w:rPr>
          <w:rFonts w:ascii="Times New Roman" w:eastAsia="Calibri" w:hAnsi="Times New Roman" w:cs="Times New Roman"/>
        </w:rPr>
      </w:pPr>
      <w:r w:rsidRPr="00C0186C">
        <w:rPr>
          <w:rFonts w:ascii="Times New Roman" w:eastAsia="Calibri" w:hAnsi="Times New Roman" w:cs="Times New Roman"/>
        </w:rPr>
        <w:t>Izvor: Baza podataka Ministarstva financija</w:t>
      </w:r>
    </w:p>
    <w:p w14:paraId="534EF9B1" w14:textId="77777777" w:rsidR="00B40319" w:rsidRPr="00C0186C" w:rsidRDefault="00B40319" w:rsidP="0048160A">
      <w:pPr>
        <w:spacing w:before="0" w:after="0"/>
        <w:jc w:val="both"/>
        <w:rPr>
          <w:rFonts w:ascii="Times New Roman" w:eastAsia="Calibri" w:hAnsi="Times New Roman" w:cs="Times New Roman"/>
          <w:sz w:val="24"/>
          <w:szCs w:val="24"/>
        </w:rPr>
      </w:pPr>
    </w:p>
    <w:p w14:paraId="17CDD298" w14:textId="77777777" w:rsidR="008F7BE7" w:rsidRPr="00C0186C" w:rsidRDefault="00DD0C33" w:rsidP="00B70EE8">
      <w:pPr>
        <w:spacing w:before="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rPr>
        <w:t xml:space="preserve">Grafikonom </w:t>
      </w:r>
      <w:r w:rsidR="008F7BE7" w:rsidRPr="00C0186C">
        <w:rPr>
          <w:rFonts w:ascii="Times New Roman" w:eastAsia="Calibri" w:hAnsi="Times New Roman" w:cs="Times New Roman"/>
          <w:sz w:val="24"/>
          <w:szCs w:val="24"/>
        </w:rPr>
        <w:t>3. prikazano je kretanje prihoda od pomoći po stanovniku za skupinu jedinica lokalne samouprave sa statusom potpomognutog područja te za sve JLS</w:t>
      </w:r>
      <w:r w:rsidR="00B921FC" w:rsidRPr="00C0186C">
        <w:rPr>
          <w:rFonts w:ascii="Times New Roman" w:eastAsia="Calibri" w:hAnsi="Times New Roman" w:cs="Times New Roman"/>
          <w:sz w:val="24"/>
          <w:szCs w:val="24"/>
        </w:rPr>
        <w:t>-ove</w:t>
      </w:r>
      <w:r w:rsidR="008F7BE7" w:rsidRPr="00C0186C">
        <w:rPr>
          <w:rFonts w:ascii="Times New Roman" w:eastAsia="Calibri" w:hAnsi="Times New Roman" w:cs="Times New Roman"/>
          <w:sz w:val="24"/>
          <w:szCs w:val="24"/>
        </w:rPr>
        <w:t>. I ovdje se može vidjeti da je u vrijeme ekonomsko-financijske krize i značajne redukcije proračuna posebno od 2011. godine razlika primljenih pomoći po glavi stanovnika između jedinica lokalne samouprave u potpomognutim područjima i prosjeka Republike Hrvatske bila najmanja. Od 2015. godine može se primijetiti značajno povećanje pomoći po glavi stanovni</w:t>
      </w:r>
      <w:r w:rsidR="00B921FC" w:rsidRPr="00C0186C">
        <w:rPr>
          <w:rFonts w:ascii="Times New Roman" w:eastAsia="Calibri" w:hAnsi="Times New Roman" w:cs="Times New Roman"/>
          <w:sz w:val="24"/>
          <w:szCs w:val="24"/>
        </w:rPr>
        <w:t>ka</w:t>
      </w:r>
      <w:r w:rsidR="008F7BE7" w:rsidRPr="00C0186C">
        <w:rPr>
          <w:rFonts w:ascii="Times New Roman" w:eastAsia="Calibri" w:hAnsi="Times New Roman" w:cs="Times New Roman"/>
          <w:sz w:val="24"/>
          <w:szCs w:val="24"/>
        </w:rPr>
        <w:t xml:space="preserve"> za potpomognuta područja. Dio povećanja pomoći po glavi stanovnika sigurno je vezan i za značajne migracijske procese koji su posebno značajni za potpomognuta područja. </w:t>
      </w:r>
    </w:p>
    <w:p w14:paraId="4E14DC26" w14:textId="77777777" w:rsidR="008F7BE7" w:rsidRPr="00C0186C" w:rsidRDefault="008F7BE7" w:rsidP="00B70EE8">
      <w:pPr>
        <w:spacing w:before="0"/>
        <w:jc w:val="both"/>
        <w:rPr>
          <w:rFonts w:ascii="Times New Roman" w:eastAsia="Calibri" w:hAnsi="Times New Roman" w:cs="Times New Roman"/>
          <w:sz w:val="24"/>
          <w:szCs w:val="24"/>
        </w:rPr>
      </w:pPr>
    </w:p>
    <w:p w14:paraId="114E69DC" w14:textId="77777777" w:rsidR="008F7BE7" w:rsidRPr="00C0186C" w:rsidRDefault="008F7BE7" w:rsidP="00B70EE8">
      <w:pPr>
        <w:spacing w:before="0"/>
        <w:jc w:val="both"/>
        <w:rPr>
          <w:rFonts w:ascii="Times New Roman" w:eastAsia="Calibri" w:hAnsi="Times New Roman" w:cs="Times New Roman"/>
          <w:sz w:val="24"/>
          <w:szCs w:val="24"/>
        </w:rPr>
      </w:pPr>
    </w:p>
    <w:p w14:paraId="3083CE0D" w14:textId="054AEB22" w:rsidR="008F7BE7" w:rsidRDefault="008F7BE7" w:rsidP="00B70EE8">
      <w:pPr>
        <w:spacing w:before="0"/>
        <w:jc w:val="both"/>
        <w:rPr>
          <w:rFonts w:ascii="Times New Roman" w:eastAsia="Calibri" w:hAnsi="Times New Roman" w:cs="Times New Roman"/>
          <w:sz w:val="24"/>
          <w:szCs w:val="24"/>
        </w:rPr>
      </w:pPr>
    </w:p>
    <w:p w14:paraId="262B25BC" w14:textId="6053617B" w:rsidR="00D22350" w:rsidRDefault="00D22350" w:rsidP="00B70EE8">
      <w:pPr>
        <w:spacing w:before="0"/>
        <w:jc w:val="both"/>
        <w:rPr>
          <w:rFonts w:ascii="Times New Roman" w:eastAsia="Calibri" w:hAnsi="Times New Roman" w:cs="Times New Roman"/>
          <w:sz w:val="24"/>
          <w:szCs w:val="24"/>
        </w:rPr>
      </w:pPr>
    </w:p>
    <w:p w14:paraId="79CF90C2" w14:textId="2AF163F4" w:rsidR="00D22350" w:rsidRDefault="00D22350" w:rsidP="00B70EE8">
      <w:pPr>
        <w:spacing w:before="0"/>
        <w:jc w:val="both"/>
        <w:rPr>
          <w:rFonts w:ascii="Times New Roman" w:eastAsia="Calibri" w:hAnsi="Times New Roman" w:cs="Times New Roman"/>
          <w:sz w:val="24"/>
          <w:szCs w:val="24"/>
        </w:rPr>
      </w:pPr>
    </w:p>
    <w:p w14:paraId="09945CB0" w14:textId="1BB485A3" w:rsidR="00D22350" w:rsidRDefault="00D22350" w:rsidP="00B70EE8">
      <w:pPr>
        <w:spacing w:before="0"/>
        <w:jc w:val="both"/>
        <w:rPr>
          <w:rFonts w:ascii="Times New Roman" w:eastAsia="Calibri" w:hAnsi="Times New Roman" w:cs="Times New Roman"/>
          <w:sz w:val="24"/>
          <w:szCs w:val="24"/>
        </w:rPr>
      </w:pPr>
    </w:p>
    <w:p w14:paraId="77776C71" w14:textId="3B882E07" w:rsidR="00D22350" w:rsidRDefault="00D22350" w:rsidP="00B70EE8">
      <w:pPr>
        <w:spacing w:before="0"/>
        <w:jc w:val="both"/>
        <w:rPr>
          <w:rFonts w:ascii="Times New Roman" w:eastAsia="Calibri" w:hAnsi="Times New Roman" w:cs="Times New Roman"/>
          <w:sz w:val="24"/>
          <w:szCs w:val="24"/>
        </w:rPr>
      </w:pPr>
    </w:p>
    <w:p w14:paraId="725A897F" w14:textId="1659CDDE" w:rsidR="00D22350" w:rsidRDefault="00D22350" w:rsidP="00B70EE8">
      <w:pPr>
        <w:spacing w:before="0"/>
        <w:jc w:val="both"/>
        <w:rPr>
          <w:rFonts w:ascii="Times New Roman" w:eastAsia="Calibri" w:hAnsi="Times New Roman" w:cs="Times New Roman"/>
          <w:sz w:val="24"/>
          <w:szCs w:val="24"/>
        </w:rPr>
      </w:pPr>
    </w:p>
    <w:p w14:paraId="0E3B7386" w14:textId="19CBA629" w:rsidR="00D22350" w:rsidRDefault="00D22350" w:rsidP="00B70EE8">
      <w:pPr>
        <w:spacing w:before="0"/>
        <w:jc w:val="both"/>
        <w:rPr>
          <w:rFonts w:ascii="Times New Roman" w:eastAsia="Calibri" w:hAnsi="Times New Roman" w:cs="Times New Roman"/>
          <w:sz w:val="24"/>
          <w:szCs w:val="24"/>
        </w:rPr>
      </w:pPr>
    </w:p>
    <w:p w14:paraId="34B23B80" w14:textId="34A177B7" w:rsidR="00D22350" w:rsidRDefault="00D22350" w:rsidP="00B70EE8">
      <w:pPr>
        <w:spacing w:before="0"/>
        <w:jc w:val="both"/>
        <w:rPr>
          <w:rFonts w:ascii="Times New Roman" w:eastAsia="Calibri" w:hAnsi="Times New Roman" w:cs="Times New Roman"/>
          <w:sz w:val="24"/>
          <w:szCs w:val="24"/>
        </w:rPr>
      </w:pPr>
    </w:p>
    <w:p w14:paraId="317A75A2" w14:textId="77777777" w:rsidR="00D22350" w:rsidRPr="00C0186C" w:rsidRDefault="00D22350" w:rsidP="00B70EE8">
      <w:pPr>
        <w:spacing w:before="0"/>
        <w:jc w:val="both"/>
        <w:rPr>
          <w:rFonts w:ascii="Times New Roman" w:eastAsia="Calibri" w:hAnsi="Times New Roman" w:cs="Times New Roman"/>
          <w:sz w:val="24"/>
          <w:szCs w:val="24"/>
        </w:rPr>
      </w:pPr>
    </w:p>
    <w:p w14:paraId="4B848ACF" w14:textId="77777777" w:rsidR="008F7BE7" w:rsidRPr="00DF5007" w:rsidRDefault="00DD0C33" w:rsidP="0048160A">
      <w:pPr>
        <w:spacing w:before="0" w:after="0"/>
        <w:jc w:val="both"/>
        <w:rPr>
          <w:rFonts w:ascii="Times New Roman" w:eastAsia="Calibri" w:hAnsi="Times New Roman" w:cs="Times New Roman"/>
          <w:sz w:val="22"/>
          <w:szCs w:val="22"/>
        </w:rPr>
      </w:pPr>
      <w:r w:rsidRPr="00DF5007">
        <w:rPr>
          <w:rFonts w:ascii="Times New Roman" w:eastAsia="Calibri" w:hAnsi="Times New Roman" w:cs="Times New Roman"/>
          <w:b/>
          <w:bCs/>
          <w:sz w:val="22"/>
          <w:szCs w:val="22"/>
        </w:rPr>
        <w:t xml:space="preserve">Grafikon </w:t>
      </w:r>
      <w:r w:rsidR="008F7BE7" w:rsidRPr="00DF5007">
        <w:rPr>
          <w:rFonts w:ascii="Times New Roman" w:eastAsia="Calibri" w:hAnsi="Times New Roman" w:cs="Times New Roman"/>
          <w:b/>
          <w:bCs/>
          <w:sz w:val="22"/>
          <w:szCs w:val="22"/>
        </w:rPr>
        <w:t>3.:</w:t>
      </w:r>
      <w:r w:rsidR="008F7BE7" w:rsidRPr="00DF5007">
        <w:rPr>
          <w:rFonts w:ascii="Times New Roman" w:eastAsia="Calibri" w:hAnsi="Times New Roman" w:cs="Times New Roman"/>
          <w:sz w:val="22"/>
          <w:szCs w:val="22"/>
        </w:rPr>
        <w:t xml:space="preserve"> Kretan</w:t>
      </w:r>
      <w:r w:rsidRPr="00DF5007">
        <w:rPr>
          <w:rFonts w:ascii="Times New Roman" w:eastAsia="Calibri" w:hAnsi="Times New Roman" w:cs="Times New Roman"/>
          <w:sz w:val="22"/>
          <w:szCs w:val="22"/>
        </w:rPr>
        <w:t>je primljene pomoći po</w:t>
      </w:r>
      <w:r w:rsidR="008F7BE7" w:rsidRPr="00DF5007">
        <w:rPr>
          <w:rFonts w:ascii="Times New Roman" w:eastAsia="Calibri" w:hAnsi="Times New Roman" w:cs="Times New Roman"/>
          <w:sz w:val="22"/>
          <w:szCs w:val="22"/>
        </w:rPr>
        <w:t xml:space="preserve"> stanovniku u lokalnim jedinicama potpomognutih područja te svim jedinicama lokalne samouprave, u </w:t>
      </w:r>
      <w:proofErr w:type="spellStart"/>
      <w:r w:rsidR="008F7BE7" w:rsidRPr="00DF5007">
        <w:rPr>
          <w:rFonts w:ascii="Times New Roman" w:eastAsia="Calibri" w:hAnsi="Times New Roman" w:cs="Times New Roman"/>
          <w:sz w:val="22"/>
          <w:szCs w:val="22"/>
        </w:rPr>
        <w:t>mil</w:t>
      </w:r>
      <w:proofErr w:type="spellEnd"/>
      <w:r w:rsidR="008F7BE7" w:rsidRPr="00DF5007">
        <w:rPr>
          <w:rFonts w:ascii="Times New Roman" w:eastAsia="Calibri" w:hAnsi="Times New Roman" w:cs="Times New Roman"/>
          <w:sz w:val="22"/>
          <w:szCs w:val="22"/>
        </w:rPr>
        <w:t>. kn</w:t>
      </w:r>
    </w:p>
    <w:p w14:paraId="36CE08FB" w14:textId="77777777" w:rsidR="008F7BE7" w:rsidRPr="00C0186C" w:rsidRDefault="008F7BE7" w:rsidP="00B70EE8">
      <w:pPr>
        <w:pStyle w:val="NoSpacing"/>
        <w:spacing w:before="0" w:line="276" w:lineRule="auto"/>
        <w:jc w:val="center"/>
        <w:rPr>
          <w:rFonts w:ascii="Times New Roman" w:hAnsi="Times New Roman" w:cs="Times New Roman"/>
          <w:sz w:val="24"/>
          <w:szCs w:val="24"/>
        </w:rPr>
      </w:pPr>
      <w:r w:rsidRPr="00C0186C">
        <w:rPr>
          <w:rFonts w:ascii="Times New Roman" w:hAnsi="Times New Roman" w:cs="Times New Roman"/>
          <w:noProof/>
          <w:sz w:val="24"/>
          <w:szCs w:val="24"/>
          <w:lang w:eastAsia="hr-HR"/>
        </w:rPr>
        <w:drawing>
          <wp:inline distT="0" distB="0" distL="0" distR="0" wp14:anchorId="3702DE10" wp14:editId="040DEA87">
            <wp:extent cx="5776546" cy="2743200"/>
            <wp:effectExtent l="0" t="0" r="15240" b="0"/>
            <wp:docPr id="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3B6099" w14:textId="77777777" w:rsidR="008F7BE7" w:rsidRPr="00C0186C" w:rsidRDefault="008F7BE7" w:rsidP="0048160A">
      <w:pPr>
        <w:spacing w:before="0" w:after="0"/>
        <w:jc w:val="both"/>
        <w:rPr>
          <w:rFonts w:ascii="Times New Roman" w:eastAsia="Calibri" w:hAnsi="Times New Roman" w:cs="Times New Roman"/>
        </w:rPr>
      </w:pPr>
      <w:r w:rsidRPr="00C0186C">
        <w:rPr>
          <w:rFonts w:ascii="Times New Roman" w:eastAsia="Calibri" w:hAnsi="Times New Roman" w:cs="Times New Roman"/>
        </w:rPr>
        <w:t>Izvor: Baza podataka Ministarstva financija</w:t>
      </w:r>
    </w:p>
    <w:p w14:paraId="39AC56D0" w14:textId="77777777" w:rsidR="0048160A" w:rsidRDefault="0048160A" w:rsidP="0048160A">
      <w:pPr>
        <w:spacing w:before="0" w:after="0"/>
        <w:jc w:val="both"/>
        <w:rPr>
          <w:rFonts w:ascii="Times New Roman" w:eastAsia="Calibri" w:hAnsi="Times New Roman" w:cs="Times New Roman"/>
          <w:sz w:val="24"/>
          <w:szCs w:val="24"/>
        </w:rPr>
      </w:pPr>
    </w:p>
    <w:p w14:paraId="15F59823" w14:textId="070DDB8D" w:rsidR="008F7BE7" w:rsidRPr="00C0186C" w:rsidRDefault="008F7BE7" w:rsidP="0048160A">
      <w:pPr>
        <w:spacing w:before="0" w:after="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rPr>
        <w:t xml:space="preserve">S obzirom da je dinamika korištenja sredstava EU u porastu s obzirom na dostupnost sredstava u okviru </w:t>
      </w:r>
      <w:r w:rsidR="00B921FC" w:rsidRPr="00C0186C">
        <w:rPr>
          <w:rFonts w:ascii="Times New Roman" w:eastAsia="Calibri" w:hAnsi="Times New Roman" w:cs="Times New Roman"/>
          <w:sz w:val="24"/>
          <w:szCs w:val="24"/>
        </w:rPr>
        <w:t>O</w:t>
      </w:r>
      <w:r w:rsidRPr="00C0186C">
        <w:rPr>
          <w:rFonts w:ascii="Times New Roman" w:eastAsia="Calibri" w:hAnsi="Times New Roman" w:cs="Times New Roman"/>
          <w:sz w:val="24"/>
          <w:szCs w:val="24"/>
        </w:rPr>
        <w:t xml:space="preserve">perativnog programa </w:t>
      </w:r>
      <w:r w:rsidR="00B921FC" w:rsidRPr="00C0186C">
        <w:rPr>
          <w:rFonts w:ascii="Times New Roman" w:eastAsia="Calibri" w:hAnsi="Times New Roman" w:cs="Times New Roman"/>
          <w:sz w:val="24"/>
          <w:szCs w:val="24"/>
        </w:rPr>
        <w:t>K</w:t>
      </w:r>
      <w:r w:rsidRPr="00C0186C">
        <w:rPr>
          <w:rFonts w:ascii="Times New Roman" w:eastAsia="Calibri" w:hAnsi="Times New Roman" w:cs="Times New Roman"/>
          <w:sz w:val="24"/>
          <w:szCs w:val="24"/>
        </w:rPr>
        <w:t>onkurentnost i kohezija te sve veću apsorpciju, upravo EU sredstva postaju sve važniji izvor pomoći za JLS</w:t>
      </w:r>
      <w:r w:rsidR="00B921FC" w:rsidRPr="00C0186C">
        <w:rPr>
          <w:rFonts w:ascii="Times New Roman" w:eastAsia="Calibri" w:hAnsi="Times New Roman" w:cs="Times New Roman"/>
          <w:sz w:val="24"/>
          <w:szCs w:val="24"/>
        </w:rPr>
        <w:t>-ove</w:t>
      </w:r>
      <w:r w:rsidRPr="00C0186C">
        <w:rPr>
          <w:rFonts w:ascii="Times New Roman" w:eastAsia="Calibri" w:hAnsi="Times New Roman" w:cs="Times New Roman"/>
          <w:sz w:val="24"/>
          <w:szCs w:val="24"/>
        </w:rPr>
        <w:t xml:space="preserve">. Takva kretanja vidljiva </w:t>
      </w:r>
      <w:r w:rsidR="00DD0C33" w:rsidRPr="00C0186C">
        <w:rPr>
          <w:rFonts w:ascii="Times New Roman" w:eastAsia="Calibri" w:hAnsi="Times New Roman" w:cs="Times New Roman"/>
          <w:sz w:val="24"/>
          <w:szCs w:val="24"/>
        </w:rPr>
        <w:t xml:space="preserve">su u grafikonu </w:t>
      </w:r>
      <w:r w:rsidRPr="00C0186C">
        <w:rPr>
          <w:rFonts w:ascii="Times New Roman" w:eastAsia="Calibri" w:hAnsi="Times New Roman" w:cs="Times New Roman"/>
          <w:sz w:val="24"/>
          <w:szCs w:val="24"/>
        </w:rPr>
        <w:t>4. koji prikazuje kretanje prihoda od pomoći EU za proračune svih lokalnih samouprava te proračune jedinica lokalne samouprave sa statusom potpomognutih područja. Međutim, može se uočiti da je sve do 2015. godine ta pomoć bila na zanemarivim razinama. Tek 2015. godine udio EU pomoći u ukupnim pomoćima za potpomognuta područja dostiže 5%, ali 2018. godine iste dostižu gotovo 30% ukupnog iznosa pomoći. Također, može se uočiti da je s vremenom došlo do promjene raspodjele pomoći fondova EU na način da potpomognuta područja bilježe sve veći udio primljene pomoći. 2020. godine JLS</w:t>
      </w:r>
      <w:r w:rsidR="00B921FC" w:rsidRPr="00C0186C">
        <w:rPr>
          <w:rFonts w:ascii="Times New Roman" w:eastAsia="Calibri" w:hAnsi="Times New Roman" w:cs="Times New Roman"/>
          <w:sz w:val="24"/>
          <w:szCs w:val="24"/>
        </w:rPr>
        <w:t>-ovi</w:t>
      </w:r>
      <w:r w:rsidRPr="00C0186C">
        <w:rPr>
          <w:rFonts w:ascii="Times New Roman" w:eastAsia="Calibri" w:hAnsi="Times New Roman" w:cs="Times New Roman"/>
          <w:sz w:val="24"/>
          <w:szCs w:val="24"/>
        </w:rPr>
        <w:t xml:space="preserve"> sa statusom potpomognutog područja primile su oko 40% ukupne pomoći fondova EU dok je, na primjer, 2016. godine taj udio bio na razini od tek 21% te se u prethodnim godinama kretao na razini od oko 30%. Također, začuđuje neobična niska razina pomoći EU u 2017. godini. </w:t>
      </w:r>
    </w:p>
    <w:p w14:paraId="3FFEBD1B" w14:textId="77777777" w:rsidR="00FE2EDE" w:rsidRDefault="00FE2EDE" w:rsidP="0048160A">
      <w:pPr>
        <w:spacing w:before="0" w:after="0"/>
        <w:jc w:val="both"/>
        <w:rPr>
          <w:rFonts w:ascii="Times New Roman" w:eastAsia="Calibri" w:hAnsi="Times New Roman" w:cs="Times New Roman"/>
          <w:b/>
          <w:bCs/>
          <w:sz w:val="22"/>
          <w:szCs w:val="22"/>
        </w:rPr>
      </w:pPr>
    </w:p>
    <w:p w14:paraId="47C50193" w14:textId="77777777" w:rsidR="00FE2EDE" w:rsidRDefault="00FE2EDE" w:rsidP="0048160A">
      <w:pPr>
        <w:spacing w:before="0" w:after="0"/>
        <w:jc w:val="both"/>
        <w:rPr>
          <w:rFonts w:ascii="Times New Roman" w:eastAsia="Calibri" w:hAnsi="Times New Roman" w:cs="Times New Roman"/>
          <w:b/>
          <w:bCs/>
          <w:sz w:val="22"/>
          <w:szCs w:val="22"/>
        </w:rPr>
      </w:pPr>
    </w:p>
    <w:p w14:paraId="311C44F8" w14:textId="77777777" w:rsidR="00FE2EDE" w:rsidRDefault="00FE2EDE" w:rsidP="0048160A">
      <w:pPr>
        <w:spacing w:before="0" w:after="0"/>
        <w:jc w:val="both"/>
        <w:rPr>
          <w:rFonts w:ascii="Times New Roman" w:eastAsia="Calibri" w:hAnsi="Times New Roman" w:cs="Times New Roman"/>
          <w:b/>
          <w:bCs/>
          <w:sz w:val="22"/>
          <w:szCs w:val="22"/>
        </w:rPr>
      </w:pPr>
    </w:p>
    <w:p w14:paraId="1089B0A4" w14:textId="77777777" w:rsidR="00FE2EDE" w:rsidRDefault="00FE2EDE" w:rsidP="0048160A">
      <w:pPr>
        <w:spacing w:before="0" w:after="0"/>
        <w:jc w:val="both"/>
        <w:rPr>
          <w:rFonts w:ascii="Times New Roman" w:eastAsia="Calibri" w:hAnsi="Times New Roman" w:cs="Times New Roman"/>
          <w:b/>
          <w:bCs/>
          <w:sz w:val="22"/>
          <w:szCs w:val="22"/>
        </w:rPr>
      </w:pPr>
    </w:p>
    <w:p w14:paraId="72882D42" w14:textId="77777777" w:rsidR="00FE2EDE" w:rsidRDefault="00FE2EDE" w:rsidP="0048160A">
      <w:pPr>
        <w:spacing w:before="0" w:after="0"/>
        <w:jc w:val="both"/>
        <w:rPr>
          <w:rFonts w:ascii="Times New Roman" w:eastAsia="Calibri" w:hAnsi="Times New Roman" w:cs="Times New Roman"/>
          <w:b/>
          <w:bCs/>
          <w:sz w:val="22"/>
          <w:szCs w:val="22"/>
        </w:rPr>
      </w:pPr>
    </w:p>
    <w:p w14:paraId="5CE31330" w14:textId="77777777" w:rsidR="00FE2EDE" w:rsidRDefault="00FE2EDE" w:rsidP="0048160A">
      <w:pPr>
        <w:spacing w:before="0" w:after="0"/>
        <w:jc w:val="both"/>
        <w:rPr>
          <w:rFonts w:ascii="Times New Roman" w:eastAsia="Calibri" w:hAnsi="Times New Roman" w:cs="Times New Roman"/>
          <w:b/>
          <w:bCs/>
          <w:sz w:val="22"/>
          <w:szCs w:val="22"/>
        </w:rPr>
      </w:pPr>
    </w:p>
    <w:p w14:paraId="2C215628" w14:textId="77777777" w:rsidR="00FE2EDE" w:rsidRDefault="00FE2EDE" w:rsidP="0048160A">
      <w:pPr>
        <w:spacing w:before="0" w:after="0"/>
        <w:jc w:val="both"/>
        <w:rPr>
          <w:rFonts w:ascii="Times New Roman" w:eastAsia="Calibri" w:hAnsi="Times New Roman" w:cs="Times New Roman"/>
          <w:b/>
          <w:bCs/>
          <w:sz w:val="22"/>
          <w:szCs w:val="22"/>
        </w:rPr>
      </w:pPr>
    </w:p>
    <w:p w14:paraId="2563FD97" w14:textId="77777777" w:rsidR="00FE2EDE" w:rsidRDefault="00FE2EDE" w:rsidP="0048160A">
      <w:pPr>
        <w:spacing w:before="0" w:after="0"/>
        <w:jc w:val="both"/>
        <w:rPr>
          <w:rFonts w:ascii="Times New Roman" w:eastAsia="Calibri" w:hAnsi="Times New Roman" w:cs="Times New Roman"/>
          <w:b/>
          <w:bCs/>
          <w:sz w:val="22"/>
          <w:szCs w:val="22"/>
        </w:rPr>
      </w:pPr>
    </w:p>
    <w:p w14:paraId="25D43600" w14:textId="77777777" w:rsidR="00FE2EDE" w:rsidRDefault="00FE2EDE" w:rsidP="0048160A">
      <w:pPr>
        <w:spacing w:before="0" w:after="0"/>
        <w:jc w:val="both"/>
        <w:rPr>
          <w:rFonts w:ascii="Times New Roman" w:eastAsia="Calibri" w:hAnsi="Times New Roman" w:cs="Times New Roman"/>
          <w:b/>
          <w:bCs/>
          <w:sz w:val="22"/>
          <w:szCs w:val="22"/>
        </w:rPr>
      </w:pPr>
    </w:p>
    <w:p w14:paraId="7ECF98B1" w14:textId="77777777" w:rsidR="00FE2EDE" w:rsidRDefault="00FE2EDE" w:rsidP="0048160A">
      <w:pPr>
        <w:spacing w:before="0" w:after="0"/>
        <w:jc w:val="both"/>
        <w:rPr>
          <w:rFonts w:ascii="Times New Roman" w:eastAsia="Calibri" w:hAnsi="Times New Roman" w:cs="Times New Roman"/>
          <w:b/>
          <w:bCs/>
          <w:sz w:val="22"/>
          <w:szCs w:val="22"/>
        </w:rPr>
      </w:pPr>
    </w:p>
    <w:p w14:paraId="0FE44BA7" w14:textId="77777777" w:rsidR="00FE2EDE" w:rsidRDefault="00FE2EDE" w:rsidP="0048160A">
      <w:pPr>
        <w:spacing w:before="0" w:after="0"/>
        <w:jc w:val="both"/>
        <w:rPr>
          <w:rFonts w:ascii="Times New Roman" w:eastAsia="Calibri" w:hAnsi="Times New Roman" w:cs="Times New Roman"/>
          <w:b/>
          <w:bCs/>
          <w:sz w:val="22"/>
          <w:szCs w:val="22"/>
        </w:rPr>
      </w:pPr>
    </w:p>
    <w:p w14:paraId="0BBBD538" w14:textId="1155FFE1" w:rsidR="00FE2EDE" w:rsidRDefault="00FE2EDE" w:rsidP="0048160A">
      <w:pPr>
        <w:spacing w:before="0" w:after="0"/>
        <w:jc w:val="both"/>
        <w:rPr>
          <w:rFonts w:ascii="Times New Roman" w:eastAsia="Calibri" w:hAnsi="Times New Roman" w:cs="Times New Roman"/>
          <w:b/>
          <w:bCs/>
          <w:sz w:val="22"/>
          <w:szCs w:val="22"/>
        </w:rPr>
      </w:pPr>
    </w:p>
    <w:p w14:paraId="2B461A6E" w14:textId="77777777" w:rsidR="00DF5007" w:rsidRDefault="00DF5007" w:rsidP="0048160A">
      <w:pPr>
        <w:spacing w:before="0" w:after="0"/>
        <w:jc w:val="both"/>
        <w:rPr>
          <w:rFonts w:ascii="Times New Roman" w:eastAsia="Calibri" w:hAnsi="Times New Roman" w:cs="Times New Roman"/>
          <w:b/>
          <w:bCs/>
          <w:sz w:val="22"/>
          <w:szCs w:val="22"/>
        </w:rPr>
      </w:pPr>
    </w:p>
    <w:p w14:paraId="643C7C74" w14:textId="77777777" w:rsidR="00FE2EDE" w:rsidRDefault="00FE2EDE" w:rsidP="0048160A">
      <w:pPr>
        <w:spacing w:before="0" w:after="0"/>
        <w:jc w:val="both"/>
        <w:rPr>
          <w:rFonts w:ascii="Times New Roman" w:eastAsia="Calibri" w:hAnsi="Times New Roman" w:cs="Times New Roman"/>
          <w:b/>
          <w:bCs/>
          <w:sz w:val="22"/>
          <w:szCs w:val="22"/>
        </w:rPr>
      </w:pPr>
    </w:p>
    <w:p w14:paraId="55C78281" w14:textId="77777777" w:rsidR="00FE2EDE" w:rsidRDefault="00FE2EDE" w:rsidP="0048160A">
      <w:pPr>
        <w:spacing w:before="0" w:after="0"/>
        <w:jc w:val="both"/>
        <w:rPr>
          <w:rFonts w:ascii="Times New Roman" w:eastAsia="Calibri" w:hAnsi="Times New Roman" w:cs="Times New Roman"/>
          <w:b/>
          <w:bCs/>
          <w:sz w:val="22"/>
          <w:szCs w:val="22"/>
        </w:rPr>
      </w:pPr>
    </w:p>
    <w:p w14:paraId="1EA5F314" w14:textId="7F7F680C" w:rsidR="008F7BE7" w:rsidRPr="00DF5007" w:rsidRDefault="00DD0C33" w:rsidP="0048160A">
      <w:pPr>
        <w:spacing w:before="0" w:after="0"/>
        <w:jc w:val="both"/>
        <w:rPr>
          <w:rFonts w:ascii="Times New Roman" w:eastAsia="Calibri" w:hAnsi="Times New Roman" w:cs="Times New Roman"/>
          <w:sz w:val="22"/>
          <w:szCs w:val="22"/>
        </w:rPr>
      </w:pPr>
      <w:r w:rsidRPr="00DF5007">
        <w:rPr>
          <w:rFonts w:ascii="Times New Roman" w:eastAsia="Calibri" w:hAnsi="Times New Roman" w:cs="Times New Roman"/>
          <w:b/>
          <w:bCs/>
          <w:sz w:val="22"/>
          <w:szCs w:val="22"/>
        </w:rPr>
        <w:t xml:space="preserve">Grafikon </w:t>
      </w:r>
      <w:r w:rsidR="008F7BE7" w:rsidRPr="00DF5007">
        <w:rPr>
          <w:rFonts w:ascii="Times New Roman" w:eastAsia="Calibri" w:hAnsi="Times New Roman" w:cs="Times New Roman"/>
          <w:b/>
          <w:bCs/>
          <w:sz w:val="22"/>
          <w:szCs w:val="22"/>
        </w:rPr>
        <w:t>4.:</w:t>
      </w:r>
      <w:r w:rsidR="008F7BE7" w:rsidRPr="00DF5007">
        <w:rPr>
          <w:rFonts w:ascii="Times New Roman" w:eastAsia="Calibri" w:hAnsi="Times New Roman" w:cs="Times New Roman"/>
          <w:sz w:val="22"/>
          <w:szCs w:val="22"/>
        </w:rPr>
        <w:t xml:space="preserve"> Kretanje prihoda od pomoći fondova EU (ukupno i u jedinicama lokalne samouprave potpomognutih područja), u </w:t>
      </w:r>
      <w:proofErr w:type="spellStart"/>
      <w:r w:rsidR="008F7BE7" w:rsidRPr="00DF5007">
        <w:rPr>
          <w:rFonts w:ascii="Times New Roman" w:eastAsia="Calibri" w:hAnsi="Times New Roman" w:cs="Times New Roman"/>
          <w:sz w:val="22"/>
          <w:szCs w:val="22"/>
        </w:rPr>
        <w:t>mil</w:t>
      </w:r>
      <w:proofErr w:type="spellEnd"/>
      <w:r w:rsidR="008F7BE7" w:rsidRPr="00DF5007">
        <w:rPr>
          <w:rFonts w:ascii="Times New Roman" w:eastAsia="Calibri" w:hAnsi="Times New Roman" w:cs="Times New Roman"/>
          <w:sz w:val="22"/>
          <w:szCs w:val="22"/>
        </w:rPr>
        <w:t>. kn</w:t>
      </w:r>
    </w:p>
    <w:p w14:paraId="5F6B0248" w14:textId="77777777" w:rsidR="008F7BE7" w:rsidRPr="00C0186C" w:rsidRDefault="008F7BE7" w:rsidP="00B70EE8">
      <w:pPr>
        <w:pStyle w:val="NoSpacing"/>
        <w:spacing w:before="0" w:line="276" w:lineRule="auto"/>
        <w:rPr>
          <w:rFonts w:ascii="Times New Roman" w:hAnsi="Times New Roman" w:cs="Times New Roman"/>
          <w:sz w:val="24"/>
          <w:szCs w:val="24"/>
        </w:rPr>
      </w:pPr>
      <w:r w:rsidRPr="00C0186C">
        <w:rPr>
          <w:rFonts w:ascii="Times New Roman" w:hAnsi="Times New Roman" w:cs="Times New Roman"/>
          <w:noProof/>
          <w:sz w:val="24"/>
          <w:szCs w:val="24"/>
          <w:lang w:eastAsia="hr-HR"/>
        </w:rPr>
        <w:drawing>
          <wp:inline distT="0" distB="0" distL="0" distR="0" wp14:anchorId="24EAE0F0" wp14:editId="346BAF13">
            <wp:extent cx="5759450" cy="2887980"/>
            <wp:effectExtent l="0" t="0" r="0" b="0"/>
            <wp:docPr id="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4370F4" w14:textId="77777777" w:rsidR="008F7BE7" w:rsidRPr="00C0186C" w:rsidRDefault="008F7BE7" w:rsidP="00B70EE8">
      <w:pPr>
        <w:pStyle w:val="NoSpacing"/>
        <w:spacing w:before="0" w:line="276" w:lineRule="auto"/>
        <w:rPr>
          <w:rFonts w:ascii="Times New Roman" w:eastAsia="Calibri" w:hAnsi="Times New Roman" w:cs="Times New Roman"/>
        </w:rPr>
      </w:pPr>
      <w:r w:rsidRPr="00C0186C">
        <w:rPr>
          <w:rFonts w:ascii="Times New Roman" w:eastAsia="Calibri" w:hAnsi="Times New Roman" w:cs="Times New Roman"/>
        </w:rPr>
        <w:t>Izvor: Baza podataka Ministarstva financija</w:t>
      </w:r>
    </w:p>
    <w:p w14:paraId="61511096" w14:textId="77777777" w:rsidR="008F7BE7" w:rsidRPr="00C0186C" w:rsidRDefault="008F7BE7" w:rsidP="00B70EE8">
      <w:pPr>
        <w:pStyle w:val="NoSpacing"/>
        <w:spacing w:before="0" w:line="276" w:lineRule="auto"/>
        <w:rPr>
          <w:rFonts w:ascii="Times New Roman" w:hAnsi="Times New Roman" w:cs="Times New Roman"/>
          <w:sz w:val="24"/>
          <w:szCs w:val="24"/>
        </w:rPr>
      </w:pPr>
    </w:p>
    <w:p w14:paraId="7DF6436C" w14:textId="77777777" w:rsidR="008F7BE7" w:rsidRPr="00C0186C" w:rsidRDefault="00DD0C33"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Grafikon </w:t>
      </w:r>
      <w:r w:rsidR="008F7BE7" w:rsidRPr="00C0186C">
        <w:rPr>
          <w:rFonts w:ascii="Times New Roman" w:hAnsi="Times New Roman" w:cs="Times New Roman"/>
          <w:sz w:val="24"/>
          <w:szCs w:val="24"/>
        </w:rPr>
        <w:t>5. potvrđuje navedena zapažanja. Iznos primljene pomoći iz fondova EU po glavi stanovnika sve do 2018. godine bio je gotovo identičan kada se usporede JLS</w:t>
      </w:r>
      <w:r w:rsidR="00B921FC" w:rsidRPr="00C0186C">
        <w:rPr>
          <w:rFonts w:ascii="Times New Roman" w:hAnsi="Times New Roman" w:cs="Times New Roman"/>
          <w:sz w:val="24"/>
          <w:szCs w:val="24"/>
        </w:rPr>
        <w:t>-ovi</w:t>
      </w:r>
      <w:r w:rsidR="008F7BE7" w:rsidRPr="00C0186C">
        <w:rPr>
          <w:rFonts w:ascii="Times New Roman" w:hAnsi="Times New Roman" w:cs="Times New Roman"/>
          <w:sz w:val="24"/>
          <w:szCs w:val="24"/>
        </w:rPr>
        <w:t xml:space="preserve"> sa statusom potpomognutog područja s prosjekom jedinica lokalne samouprave Republike Hrvatske. Iznos pomoći EU za potpomognuta područja u 2020. u odnosu na 2016. godinu osmerostruko je povećan. Imajući u vidu i novi sustav fiskalnog izravnanja na snazi od 2018. godine, može se zaključiti da je apsolutni i relativni iznos pomoći te drugih izvora proračunskih prihoda za JLS</w:t>
      </w:r>
      <w:r w:rsidR="00B921FC" w:rsidRPr="00C0186C">
        <w:rPr>
          <w:rFonts w:ascii="Times New Roman" w:hAnsi="Times New Roman" w:cs="Times New Roman"/>
          <w:sz w:val="24"/>
          <w:szCs w:val="24"/>
        </w:rPr>
        <w:t>-ove</w:t>
      </w:r>
      <w:r w:rsidR="008F7BE7" w:rsidRPr="00C0186C">
        <w:rPr>
          <w:rFonts w:ascii="Times New Roman" w:hAnsi="Times New Roman" w:cs="Times New Roman"/>
          <w:sz w:val="24"/>
          <w:szCs w:val="24"/>
        </w:rPr>
        <w:t xml:space="preserve"> na potpomognutom području značajno narastao. </w:t>
      </w:r>
    </w:p>
    <w:p w14:paraId="09489074" w14:textId="77777777" w:rsidR="00FE2EDE" w:rsidRPr="00DF5007" w:rsidRDefault="00FE2EDE" w:rsidP="00B70EE8">
      <w:pPr>
        <w:pStyle w:val="NoSpacing"/>
        <w:spacing w:before="0" w:line="276" w:lineRule="auto"/>
        <w:jc w:val="both"/>
        <w:rPr>
          <w:rFonts w:ascii="Times New Roman" w:hAnsi="Times New Roman" w:cs="Times New Roman"/>
          <w:sz w:val="22"/>
          <w:szCs w:val="22"/>
        </w:rPr>
      </w:pPr>
    </w:p>
    <w:p w14:paraId="6B4E5CFE" w14:textId="77777777" w:rsidR="008F7BE7" w:rsidRPr="00DF5007" w:rsidRDefault="00DD0C33" w:rsidP="00B70EE8">
      <w:pPr>
        <w:spacing w:before="0"/>
        <w:jc w:val="both"/>
        <w:rPr>
          <w:rFonts w:ascii="Times New Roman" w:eastAsia="Calibri" w:hAnsi="Times New Roman" w:cs="Times New Roman"/>
          <w:sz w:val="22"/>
          <w:szCs w:val="22"/>
        </w:rPr>
      </w:pPr>
      <w:r w:rsidRPr="00DF5007">
        <w:rPr>
          <w:rFonts w:ascii="Times New Roman" w:eastAsia="Calibri" w:hAnsi="Times New Roman" w:cs="Times New Roman"/>
          <w:b/>
          <w:bCs/>
          <w:sz w:val="22"/>
          <w:szCs w:val="22"/>
        </w:rPr>
        <w:t xml:space="preserve">Grafikon </w:t>
      </w:r>
      <w:r w:rsidR="008F7BE7" w:rsidRPr="00DF5007">
        <w:rPr>
          <w:rFonts w:ascii="Times New Roman" w:eastAsia="Calibri" w:hAnsi="Times New Roman" w:cs="Times New Roman"/>
          <w:b/>
          <w:bCs/>
          <w:sz w:val="22"/>
          <w:szCs w:val="22"/>
        </w:rPr>
        <w:t>5.:</w:t>
      </w:r>
      <w:r w:rsidR="008F7BE7" w:rsidRPr="00DF5007">
        <w:rPr>
          <w:rFonts w:ascii="Times New Roman" w:eastAsia="Calibri" w:hAnsi="Times New Roman" w:cs="Times New Roman"/>
          <w:sz w:val="22"/>
          <w:szCs w:val="22"/>
        </w:rPr>
        <w:t xml:space="preserve"> Kretanje primljene pomoći fondova EU po glavi stanovnika u jedinicama lokalne samouprave potpomognutih područja te svim jedinicama lokalne samouprave, u </w:t>
      </w:r>
      <w:proofErr w:type="spellStart"/>
      <w:r w:rsidR="008F7BE7" w:rsidRPr="00DF5007">
        <w:rPr>
          <w:rFonts w:ascii="Times New Roman" w:eastAsia="Calibri" w:hAnsi="Times New Roman" w:cs="Times New Roman"/>
          <w:sz w:val="22"/>
          <w:szCs w:val="22"/>
        </w:rPr>
        <w:t>mil</w:t>
      </w:r>
      <w:proofErr w:type="spellEnd"/>
      <w:r w:rsidR="008F7BE7" w:rsidRPr="00DF5007">
        <w:rPr>
          <w:rFonts w:ascii="Times New Roman" w:eastAsia="Calibri" w:hAnsi="Times New Roman" w:cs="Times New Roman"/>
          <w:sz w:val="22"/>
          <w:szCs w:val="22"/>
        </w:rPr>
        <w:t>. kn</w:t>
      </w:r>
    </w:p>
    <w:p w14:paraId="38526E64" w14:textId="77777777" w:rsidR="008F7BE7" w:rsidRPr="00C0186C" w:rsidRDefault="008F7BE7" w:rsidP="00B70EE8">
      <w:pPr>
        <w:pStyle w:val="NoSpacing"/>
        <w:spacing w:before="0" w:line="276" w:lineRule="auto"/>
        <w:rPr>
          <w:rFonts w:ascii="Times New Roman" w:hAnsi="Times New Roman" w:cs="Times New Roman"/>
          <w:sz w:val="24"/>
          <w:szCs w:val="24"/>
        </w:rPr>
      </w:pPr>
      <w:r w:rsidRPr="00C0186C">
        <w:rPr>
          <w:rFonts w:ascii="Times New Roman" w:hAnsi="Times New Roman" w:cs="Times New Roman"/>
          <w:noProof/>
          <w:sz w:val="24"/>
          <w:szCs w:val="24"/>
          <w:lang w:eastAsia="hr-HR"/>
        </w:rPr>
        <w:drawing>
          <wp:inline distT="0" distB="0" distL="0" distR="0" wp14:anchorId="38E28D0B" wp14:editId="2D202F1C">
            <wp:extent cx="5838825" cy="2809875"/>
            <wp:effectExtent l="0" t="0" r="0" b="0"/>
            <wp:docPr id="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61BE61" w14:textId="77777777" w:rsidR="008F7BE7" w:rsidRPr="00C0186C" w:rsidRDefault="008F7BE7" w:rsidP="00B70EE8">
      <w:pPr>
        <w:pStyle w:val="NoSpacing"/>
        <w:spacing w:before="0" w:line="276" w:lineRule="auto"/>
        <w:rPr>
          <w:rFonts w:ascii="Times New Roman" w:eastAsia="Calibri" w:hAnsi="Times New Roman" w:cs="Times New Roman"/>
        </w:rPr>
      </w:pPr>
      <w:r w:rsidRPr="00C0186C">
        <w:rPr>
          <w:rFonts w:ascii="Times New Roman" w:eastAsia="Calibri" w:hAnsi="Times New Roman" w:cs="Times New Roman"/>
        </w:rPr>
        <w:t>Izvor: Baza podataka Ministarstva financija</w:t>
      </w:r>
    </w:p>
    <w:p w14:paraId="33D27DC1" w14:textId="77777777" w:rsidR="008F7BE7" w:rsidRPr="00C0186C" w:rsidRDefault="008F7BE7"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Nakon analize kretanja te strukture primljenih pomoći, važno je utvrditi jesu li pomoći usmjerene na JLS</w:t>
      </w:r>
      <w:r w:rsidR="00B921FC" w:rsidRPr="00C0186C">
        <w:rPr>
          <w:rFonts w:ascii="Times New Roman" w:hAnsi="Times New Roman" w:cs="Times New Roman"/>
          <w:sz w:val="24"/>
          <w:szCs w:val="24"/>
        </w:rPr>
        <w:t>-ove</w:t>
      </w:r>
      <w:r w:rsidRPr="00C0186C">
        <w:rPr>
          <w:rFonts w:ascii="Times New Roman" w:hAnsi="Times New Roman" w:cs="Times New Roman"/>
          <w:sz w:val="24"/>
          <w:szCs w:val="24"/>
        </w:rPr>
        <w:t xml:space="preserve"> slabije razvijenosti bile svrsishodne, odnosno dovele do pozitivnih pomaka u gospodarskim te fiskalnim kretanjima. Stoga se u nastavku daju rezultati panel regresijske analize s fiksnim učincima (koji naglašavaju učinke promjena u vremenu) koja se izvršila temeljem dostupnih podataka. Ispituje se učinak pomoći na varijable dohotka, izvornih proračunskih prihoda, kretanja stanovništva te stope nezaposlenosti u razdoblju od 2007. do 2017. godine. Panel regresijska analiza izvršena je na uzorku svih jedinica lokalne samouprave te posebno na uzorku jedinica lokalne samouprave sa statusom potpomognutog područja.</w:t>
      </w:r>
      <w:r w:rsidR="0055318E" w:rsidRPr="00C0186C">
        <w:rPr>
          <w:rFonts w:ascii="Times New Roman" w:hAnsi="Times New Roman" w:cs="Times New Roman"/>
          <w:sz w:val="24"/>
          <w:szCs w:val="24"/>
        </w:rPr>
        <w:t xml:space="preserve"> </w:t>
      </w:r>
      <w:r w:rsidRPr="00C0186C">
        <w:rPr>
          <w:rFonts w:ascii="Times New Roman" w:hAnsi="Times New Roman" w:cs="Times New Roman"/>
          <w:sz w:val="24"/>
          <w:szCs w:val="24"/>
        </w:rPr>
        <w:t>Rezultati an</w:t>
      </w:r>
      <w:r w:rsidR="00172FDD" w:rsidRPr="00C0186C">
        <w:rPr>
          <w:rFonts w:ascii="Times New Roman" w:hAnsi="Times New Roman" w:cs="Times New Roman"/>
          <w:sz w:val="24"/>
          <w:szCs w:val="24"/>
        </w:rPr>
        <w:t>alize prikazani su u tablici 2</w:t>
      </w:r>
      <w:r w:rsidRPr="00C0186C">
        <w:rPr>
          <w:rFonts w:ascii="Times New Roman" w:hAnsi="Times New Roman" w:cs="Times New Roman"/>
          <w:sz w:val="24"/>
          <w:szCs w:val="24"/>
        </w:rPr>
        <w:t>.</w:t>
      </w:r>
    </w:p>
    <w:p w14:paraId="4A01288A" w14:textId="77777777" w:rsidR="008F7BE7" w:rsidRPr="00DF5007" w:rsidRDefault="008F7BE7" w:rsidP="00B70EE8">
      <w:pPr>
        <w:pStyle w:val="NoSpacing"/>
        <w:spacing w:before="0" w:line="276" w:lineRule="auto"/>
        <w:jc w:val="both"/>
        <w:rPr>
          <w:rFonts w:ascii="Times New Roman" w:hAnsi="Times New Roman" w:cs="Times New Roman"/>
          <w:sz w:val="22"/>
          <w:szCs w:val="22"/>
        </w:rPr>
      </w:pPr>
    </w:p>
    <w:p w14:paraId="297D0017" w14:textId="77777777" w:rsidR="008F7BE7" w:rsidRPr="00DF5007" w:rsidRDefault="00172FDD" w:rsidP="00B70EE8">
      <w:pPr>
        <w:pStyle w:val="NoSpacing"/>
        <w:spacing w:before="0" w:line="276" w:lineRule="auto"/>
        <w:jc w:val="both"/>
        <w:rPr>
          <w:rFonts w:ascii="Times New Roman" w:hAnsi="Times New Roman" w:cs="Times New Roman"/>
          <w:sz w:val="22"/>
          <w:szCs w:val="22"/>
        </w:rPr>
      </w:pPr>
      <w:r w:rsidRPr="00DF5007">
        <w:rPr>
          <w:rFonts w:ascii="Times New Roman" w:hAnsi="Times New Roman" w:cs="Times New Roman"/>
          <w:b/>
          <w:bCs/>
          <w:sz w:val="22"/>
          <w:szCs w:val="22"/>
        </w:rPr>
        <w:t>Tablica 2</w:t>
      </w:r>
      <w:r w:rsidR="008F7BE7" w:rsidRPr="00DF5007">
        <w:rPr>
          <w:rFonts w:ascii="Times New Roman" w:hAnsi="Times New Roman" w:cs="Times New Roman"/>
          <w:sz w:val="22"/>
          <w:szCs w:val="22"/>
        </w:rPr>
        <w:t>. Panel regresijska analiza učinaka pomoći</w:t>
      </w:r>
    </w:p>
    <w:tbl>
      <w:tblPr>
        <w:tblStyle w:val="GridTable5Dark-Accent1"/>
        <w:tblW w:w="0" w:type="auto"/>
        <w:shd w:val="clear" w:color="auto" w:fill="DEEAF6" w:themeFill="accent1" w:themeFillTint="33"/>
        <w:tblLook w:val="04A0" w:firstRow="1" w:lastRow="0" w:firstColumn="1" w:lastColumn="0" w:noHBand="0" w:noVBand="1"/>
      </w:tblPr>
      <w:tblGrid>
        <w:gridCol w:w="2919"/>
        <w:gridCol w:w="1216"/>
        <w:gridCol w:w="1738"/>
        <w:gridCol w:w="1592"/>
        <w:gridCol w:w="1595"/>
      </w:tblGrid>
      <w:tr w:rsidR="00FE2EDE" w:rsidRPr="00FE2EDE" w14:paraId="2134A6B1" w14:textId="77777777" w:rsidTr="00113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single" w:sz="4" w:space="0" w:color="FFFFFF" w:themeColor="background1"/>
            </w:tcBorders>
          </w:tcPr>
          <w:p w14:paraId="3B79308C" w14:textId="77777777" w:rsidR="008F7BE7" w:rsidRPr="0011380C" w:rsidRDefault="008F7BE7" w:rsidP="00B70EE8">
            <w:pPr>
              <w:pStyle w:val="NoSpacing"/>
              <w:spacing w:before="0" w:line="276" w:lineRule="auto"/>
              <w:rPr>
                <w:rFonts w:ascii="Times New Roman" w:hAnsi="Times New Roman" w:cs="Times New Roman"/>
                <w:sz w:val="24"/>
                <w:szCs w:val="24"/>
              </w:rPr>
            </w:pPr>
          </w:p>
        </w:tc>
        <w:tc>
          <w:tcPr>
            <w:tcW w:w="2977" w:type="dxa"/>
            <w:gridSpan w:val="2"/>
            <w:tcBorders>
              <w:left w:val="single" w:sz="4" w:space="0" w:color="FFFFFF" w:themeColor="background1"/>
              <w:right w:val="single" w:sz="4" w:space="0" w:color="FFFFFF" w:themeColor="background1"/>
            </w:tcBorders>
          </w:tcPr>
          <w:p w14:paraId="33483B8F" w14:textId="6E60EFC3" w:rsidR="008F7BE7" w:rsidRPr="0011380C" w:rsidRDefault="008F7BE7" w:rsidP="00B70EE8">
            <w:pPr>
              <w:pStyle w:val="NoSpacing"/>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380C">
              <w:rPr>
                <w:rFonts w:ascii="Times New Roman" w:hAnsi="Times New Roman" w:cs="Times New Roman"/>
                <w:sz w:val="24"/>
                <w:szCs w:val="24"/>
              </w:rPr>
              <w:t>Uzorak:</w:t>
            </w:r>
          </w:p>
          <w:p w14:paraId="7521A879" w14:textId="77777777" w:rsidR="008F7BE7" w:rsidRPr="0011380C" w:rsidRDefault="008F7BE7" w:rsidP="00B70EE8">
            <w:pPr>
              <w:pStyle w:val="NoSpacing"/>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380C">
              <w:rPr>
                <w:rFonts w:ascii="Times New Roman" w:hAnsi="Times New Roman" w:cs="Times New Roman"/>
                <w:sz w:val="24"/>
                <w:szCs w:val="24"/>
              </w:rPr>
              <w:t>JLS sa statusom potpomognutog područja</w:t>
            </w:r>
          </w:p>
        </w:tc>
        <w:tc>
          <w:tcPr>
            <w:tcW w:w="3215" w:type="dxa"/>
            <w:gridSpan w:val="2"/>
            <w:tcBorders>
              <w:left w:val="single" w:sz="4" w:space="0" w:color="FFFFFF" w:themeColor="background1"/>
            </w:tcBorders>
          </w:tcPr>
          <w:p w14:paraId="27492DC2" w14:textId="17DAF27F" w:rsidR="008F7BE7" w:rsidRPr="0011380C" w:rsidRDefault="008F7BE7" w:rsidP="00B70EE8">
            <w:pPr>
              <w:pStyle w:val="NoSpacing"/>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380C">
              <w:rPr>
                <w:rFonts w:ascii="Times New Roman" w:hAnsi="Times New Roman" w:cs="Times New Roman"/>
                <w:sz w:val="24"/>
                <w:szCs w:val="24"/>
              </w:rPr>
              <w:t>Uzorak:</w:t>
            </w:r>
          </w:p>
          <w:p w14:paraId="3D6D326F" w14:textId="77777777" w:rsidR="008F7BE7" w:rsidRPr="0011380C" w:rsidRDefault="008F7BE7" w:rsidP="00B70EE8">
            <w:pPr>
              <w:pStyle w:val="NoSpacing"/>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380C">
              <w:rPr>
                <w:rFonts w:ascii="Times New Roman" w:hAnsi="Times New Roman" w:cs="Times New Roman"/>
                <w:sz w:val="24"/>
                <w:szCs w:val="24"/>
              </w:rPr>
              <w:t>Sve JLS</w:t>
            </w:r>
          </w:p>
        </w:tc>
      </w:tr>
      <w:tr w:rsidR="00FE2EDE" w:rsidRPr="00FE2EDE" w14:paraId="5A5CA36D" w14:textId="77777777" w:rsidTr="00113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BEB8A05" w14:textId="77777777" w:rsidR="008F7BE7" w:rsidRPr="0011380C" w:rsidRDefault="008F7BE7" w:rsidP="00B70EE8">
            <w:pPr>
              <w:pStyle w:val="NoSpacing"/>
              <w:spacing w:before="0" w:line="276" w:lineRule="auto"/>
              <w:rPr>
                <w:rFonts w:ascii="Times New Roman" w:hAnsi="Times New Roman" w:cs="Times New Roman"/>
                <w:sz w:val="24"/>
                <w:szCs w:val="24"/>
              </w:rPr>
            </w:pPr>
            <w:r w:rsidRPr="0011380C">
              <w:rPr>
                <w:rFonts w:ascii="Times New Roman" w:hAnsi="Times New Roman" w:cs="Times New Roman"/>
                <w:sz w:val="24"/>
                <w:szCs w:val="24"/>
              </w:rPr>
              <w:t>Zavisna varijabla:</w:t>
            </w:r>
          </w:p>
        </w:tc>
        <w:tc>
          <w:tcPr>
            <w:tcW w:w="1216" w:type="dxa"/>
            <w:shd w:val="clear" w:color="auto" w:fill="DEEAF6" w:themeFill="accent1" w:themeFillTint="33"/>
          </w:tcPr>
          <w:p w14:paraId="161AEB17"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 xml:space="preserve">Nezavisna varijabla Pomoći </w:t>
            </w:r>
            <w:proofErr w:type="spellStart"/>
            <w:r w:rsidRPr="00FE2EDE">
              <w:rPr>
                <w:rFonts w:ascii="Times New Roman" w:hAnsi="Times New Roman" w:cs="Times New Roman"/>
                <w:sz w:val="24"/>
                <w:szCs w:val="24"/>
              </w:rPr>
              <w:t>per</w:t>
            </w:r>
            <w:proofErr w:type="spellEnd"/>
            <w:r w:rsidRPr="00FE2EDE">
              <w:rPr>
                <w:rFonts w:ascii="Times New Roman" w:hAnsi="Times New Roman" w:cs="Times New Roman"/>
                <w:sz w:val="24"/>
                <w:szCs w:val="24"/>
              </w:rPr>
              <w:t xml:space="preserve"> </w:t>
            </w:r>
            <w:proofErr w:type="spellStart"/>
            <w:r w:rsidRPr="00FE2EDE">
              <w:rPr>
                <w:rFonts w:ascii="Times New Roman" w:hAnsi="Times New Roman" w:cs="Times New Roman"/>
                <w:sz w:val="24"/>
                <w:szCs w:val="24"/>
              </w:rPr>
              <w:t>capita</w:t>
            </w:r>
            <w:proofErr w:type="spellEnd"/>
          </w:p>
        </w:tc>
        <w:tc>
          <w:tcPr>
            <w:tcW w:w="1761" w:type="dxa"/>
            <w:shd w:val="clear" w:color="auto" w:fill="DEEAF6" w:themeFill="accent1" w:themeFillTint="33"/>
          </w:tcPr>
          <w:p w14:paraId="21B97BD8"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R</w:t>
            </w:r>
            <w:r w:rsidRPr="00FE2EDE">
              <w:rPr>
                <w:rFonts w:ascii="Times New Roman" w:hAnsi="Times New Roman" w:cs="Times New Roman"/>
                <w:sz w:val="24"/>
                <w:szCs w:val="24"/>
                <w:vertAlign w:val="superscript"/>
              </w:rPr>
              <w:t>2</w:t>
            </w:r>
          </w:p>
        </w:tc>
        <w:tc>
          <w:tcPr>
            <w:tcW w:w="1600" w:type="dxa"/>
            <w:shd w:val="clear" w:color="auto" w:fill="DEEAF6" w:themeFill="accent1" w:themeFillTint="33"/>
          </w:tcPr>
          <w:p w14:paraId="63D0C091"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 xml:space="preserve">Nezavisna varijabla Pomoći </w:t>
            </w:r>
            <w:proofErr w:type="spellStart"/>
            <w:r w:rsidRPr="00FE2EDE">
              <w:rPr>
                <w:rFonts w:ascii="Times New Roman" w:hAnsi="Times New Roman" w:cs="Times New Roman"/>
                <w:sz w:val="24"/>
                <w:szCs w:val="24"/>
              </w:rPr>
              <w:t>per</w:t>
            </w:r>
            <w:proofErr w:type="spellEnd"/>
            <w:r w:rsidRPr="00FE2EDE">
              <w:rPr>
                <w:rFonts w:ascii="Times New Roman" w:hAnsi="Times New Roman" w:cs="Times New Roman"/>
                <w:sz w:val="24"/>
                <w:szCs w:val="24"/>
              </w:rPr>
              <w:t xml:space="preserve"> </w:t>
            </w:r>
            <w:proofErr w:type="spellStart"/>
            <w:r w:rsidRPr="00FE2EDE">
              <w:rPr>
                <w:rFonts w:ascii="Times New Roman" w:hAnsi="Times New Roman" w:cs="Times New Roman"/>
                <w:sz w:val="24"/>
                <w:szCs w:val="24"/>
              </w:rPr>
              <w:t>capita</w:t>
            </w:r>
            <w:proofErr w:type="spellEnd"/>
          </w:p>
        </w:tc>
        <w:tc>
          <w:tcPr>
            <w:tcW w:w="1615" w:type="dxa"/>
            <w:shd w:val="clear" w:color="auto" w:fill="DEEAF6" w:themeFill="accent1" w:themeFillTint="33"/>
          </w:tcPr>
          <w:p w14:paraId="5A78763B"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R</w:t>
            </w:r>
            <w:r w:rsidRPr="00FE2EDE">
              <w:rPr>
                <w:rFonts w:ascii="Times New Roman" w:hAnsi="Times New Roman" w:cs="Times New Roman"/>
                <w:sz w:val="24"/>
                <w:szCs w:val="24"/>
                <w:vertAlign w:val="superscript"/>
              </w:rPr>
              <w:t>2</w:t>
            </w:r>
          </w:p>
        </w:tc>
      </w:tr>
      <w:tr w:rsidR="00FE2EDE" w:rsidRPr="00FE2EDE" w14:paraId="3E176710" w14:textId="77777777" w:rsidTr="0011380C">
        <w:tc>
          <w:tcPr>
            <w:cnfStyle w:val="001000000000" w:firstRow="0" w:lastRow="0" w:firstColumn="1" w:lastColumn="0" w:oddVBand="0" w:evenVBand="0" w:oddHBand="0" w:evenHBand="0" w:firstRowFirstColumn="0" w:firstRowLastColumn="0" w:lastRowFirstColumn="0" w:lastRowLastColumn="0"/>
            <w:tcW w:w="2943" w:type="dxa"/>
          </w:tcPr>
          <w:p w14:paraId="2EF67F50" w14:textId="77777777" w:rsidR="008F7BE7" w:rsidRPr="0011380C" w:rsidRDefault="008F7BE7" w:rsidP="00B70EE8">
            <w:pPr>
              <w:pStyle w:val="NoSpacing"/>
              <w:spacing w:before="0" w:line="276" w:lineRule="auto"/>
              <w:rPr>
                <w:rFonts w:ascii="Times New Roman" w:hAnsi="Times New Roman" w:cs="Times New Roman"/>
                <w:sz w:val="24"/>
                <w:szCs w:val="24"/>
              </w:rPr>
            </w:pPr>
            <w:r w:rsidRPr="0011380C">
              <w:rPr>
                <w:rFonts w:ascii="Times New Roman" w:hAnsi="Times New Roman" w:cs="Times New Roman"/>
                <w:sz w:val="24"/>
                <w:szCs w:val="24"/>
              </w:rPr>
              <w:t xml:space="preserve">Dohodak </w:t>
            </w:r>
            <w:proofErr w:type="spellStart"/>
            <w:r w:rsidRPr="0011380C">
              <w:rPr>
                <w:rFonts w:ascii="Times New Roman" w:hAnsi="Times New Roman" w:cs="Times New Roman"/>
                <w:sz w:val="24"/>
                <w:szCs w:val="24"/>
              </w:rPr>
              <w:t>per</w:t>
            </w:r>
            <w:proofErr w:type="spellEnd"/>
            <w:r w:rsidRPr="0011380C">
              <w:rPr>
                <w:rFonts w:ascii="Times New Roman" w:hAnsi="Times New Roman" w:cs="Times New Roman"/>
                <w:sz w:val="24"/>
                <w:szCs w:val="24"/>
              </w:rPr>
              <w:t xml:space="preserve"> </w:t>
            </w:r>
            <w:proofErr w:type="spellStart"/>
            <w:r w:rsidRPr="0011380C">
              <w:rPr>
                <w:rFonts w:ascii="Times New Roman" w:hAnsi="Times New Roman" w:cs="Times New Roman"/>
                <w:sz w:val="24"/>
                <w:szCs w:val="24"/>
              </w:rPr>
              <w:t>capita</w:t>
            </w:r>
            <w:proofErr w:type="spellEnd"/>
          </w:p>
        </w:tc>
        <w:tc>
          <w:tcPr>
            <w:tcW w:w="1216" w:type="dxa"/>
          </w:tcPr>
          <w:p w14:paraId="417EFD6C"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0,057***</w:t>
            </w:r>
          </w:p>
          <w:p w14:paraId="3FCCFE83"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(20,6)</w:t>
            </w:r>
          </w:p>
        </w:tc>
        <w:tc>
          <w:tcPr>
            <w:tcW w:w="1761" w:type="dxa"/>
          </w:tcPr>
          <w:p w14:paraId="364CBF1B"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0,13</w:t>
            </w:r>
          </w:p>
        </w:tc>
        <w:tc>
          <w:tcPr>
            <w:tcW w:w="1600" w:type="dxa"/>
          </w:tcPr>
          <w:p w14:paraId="394C4EA5"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0,028***</w:t>
            </w:r>
          </w:p>
          <w:p w14:paraId="3F71CFA1"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(18,16)</w:t>
            </w:r>
          </w:p>
        </w:tc>
        <w:tc>
          <w:tcPr>
            <w:tcW w:w="1615" w:type="dxa"/>
          </w:tcPr>
          <w:p w14:paraId="0C373C77"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0,06</w:t>
            </w:r>
          </w:p>
        </w:tc>
      </w:tr>
      <w:tr w:rsidR="00FE2EDE" w:rsidRPr="00FE2EDE" w14:paraId="474B189D" w14:textId="77777777" w:rsidTr="00113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2D9B5BE" w14:textId="77777777" w:rsidR="008F7BE7" w:rsidRPr="0011380C" w:rsidRDefault="008F7BE7" w:rsidP="00B70EE8">
            <w:pPr>
              <w:pStyle w:val="NoSpacing"/>
              <w:spacing w:before="0" w:line="276" w:lineRule="auto"/>
              <w:rPr>
                <w:rFonts w:ascii="Times New Roman" w:hAnsi="Times New Roman" w:cs="Times New Roman"/>
                <w:sz w:val="24"/>
                <w:szCs w:val="24"/>
              </w:rPr>
            </w:pPr>
            <w:r w:rsidRPr="0011380C">
              <w:rPr>
                <w:rFonts w:ascii="Times New Roman" w:hAnsi="Times New Roman" w:cs="Times New Roman"/>
                <w:sz w:val="24"/>
                <w:szCs w:val="24"/>
              </w:rPr>
              <w:t xml:space="preserve">Izvorni proračunski prihodi </w:t>
            </w:r>
            <w:proofErr w:type="spellStart"/>
            <w:r w:rsidRPr="0011380C">
              <w:rPr>
                <w:rFonts w:ascii="Times New Roman" w:hAnsi="Times New Roman" w:cs="Times New Roman"/>
                <w:sz w:val="24"/>
                <w:szCs w:val="24"/>
              </w:rPr>
              <w:t>per</w:t>
            </w:r>
            <w:proofErr w:type="spellEnd"/>
            <w:r w:rsidRPr="0011380C">
              <w:rPr>
                <w:rFonts w:ascii="Times New Roman" w:hAnsi="Times New Roman" w:cs="Times New Roman"/>
                <w:sz w:val="24"/>
                <w:szCs w:val="24"/>
              </w:rPr>
              <w:t xml:space="preserve"> </w:t>
            </w:r>
            <w:proofErr w:type="spellStart"/>
            <w:r w:rsidRPr="0011380C">
              <w:rPr>
                <w:rFonts w:ascii="Times New Roman" w:hAnsi="Times New Roman" w:cs="Times New Roman"/>
                <w:sz w:val="24"/>
                <w:szCs w:val="24"/>
              </w:rPr>
              <w:t>capita</w:t>
            </w:r>
            <w:proofErr w:type="spellEnd"/>
          </w:p>
        </w:tc>
        <w:tc>
          <w:tcPr>
            <w:tcW w:w="1216" w:type="dxa"/>
            <w:shd w:val="clear" w:color="auto" w:fill="DEEAF6" w:themeFill="accent1" w:themeFillTint="33"/>
          </w:tcPr>
          <w:p w14:paraId="151E0734"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0,086***</w:t>
            </w:r>
          </w:p>
          <w:p w14:paraId="3C070CD0"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(11,29)</w:t>
            </w:r>
          </w:p>
        </w:tc>
        <w:tc>
          <w:tcPr>
            <w:tcW w:w="1761" w:type="dxa"/>
            <w:shd w:val="clear" w:color="auto" w:fill="DEEAF6" w:themeFill="accent1" w:themeFillTint="33"/>
          </w:tcPr>
          <w:p w14:paraId="758366DE"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0,05</w:t>
            </w:r>
          </w:p>
        </w:tc>
        <w:tc>
          <w:tcPr>
            <w:tcW w:w="1600" w:type="dxa"/>
            <w:shd w:val="clear" w:color="auto" w:fill="DEEAF6" w:themeFill="accent1" w:themeFillTint="33"/>
          </w:tcPr>
          <w:p w14:paraId="4D0E54A6"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0,038***</w:t>
            </w:r>
          </w:p>
          <w:p w14:paraId="39D243D7"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(9,52)</w:t>
            </w:r>
          </w:p>
        </w:tc>
        <w:tc>
          <w:tcPr>
            <w:tcW w:w="1615" w:type="dxa"/>
            <w:shd w:val="clear" w:color="auto" w:fill="DEEAF6" w:themeFill="accent1" w:themeFillTint="33"/>
          </w:tcPr>
          <w:p w14:paraId="52815949"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0,02</w:t>
            </w:r>
          </w:p>
        </w:tc>
      </w:tr>
      <w:tr w:rsidR="00FE2EDE" w:rsidRPr="00FE2EDE" w14:paraId="12A50D94" w14:textId="77777777" w:rsidTr="0011380C">
        <w:tc>
          <w:tcPr>
            <w:cnfStyle w:val="001000000000" w:firstRow="0" w:lastRow="0" w:firstColumn="1" w:lastColumn="0" w:oddVBand="0" w:evenVBand="0" w:oddHBand="0" w:evenHBand="0" w:firstRowFirstColumn="0" w:firstRowLastColumn="0" w:lastRowFirstColumn="0" w:lastRowLastColumn="0"/>
            <w:tcW w:w="2943" w:type="dxa"/>
          </w:tcPr>
          <w:p w14:paraId="26FC29BC" w14:textId="77777777" w:rsidR="008F7BE7" w:rsidRPr="0011380C" w:rsidRDefault="008F7BE7" w:rsidP="00B70EE8">
            <w:pPr>
              <w:pStyle w:val="NoSpacing"/>
              <w:spacing w:before="0" w:line="276" w:lineRule="auto"/>
              <w:rPr>
                <w:rFonts w:ascii="Times New Roman" w:hAnsi="Times New Roman" w:cs="Times New Roman"/>
                <w:sz w:val="24"/>
                <w:szCs w:val="24"/>
              </w:rPr>
            </w:pPr>
            <w:r w:rsidRPr="0011380C">
              <w:rPr>
                <w:rFonts w:ascii="Times New Roman" w:hAnsi="Times New Roman" w:cs="Times New Roman"/>
                <w:sz w:val="24"/>
                <w:szCs w:val="24"/>
              </w:rPr>
              <w:t>Broj stanovnika</w:t>
            </w:r>
          </w:p>
        </w:tc>
        <w:tc>
          <w:tcPr>
            <w:tcW w:w="1216" w:type="dxa"/>
          </w:tcPr>
          <w:p w14:paraId="32D9DDF3"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-0,03***</w:t>
            </w:r>
          </w:p>
          <w:p w14:paraId="6B248625"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(-17,85)</w:t>
            </w:r>
          </w:p>
        </w:tc>
        <w:tc>
          <w:tcPr>
            <w:tcW w:w="1761" w:type="dxa"/>
          </w:tcPr>
          <w:p w14:paraId="733B3598"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0,11</w:t>
            </w:r>
          </w:p>
        </w:tc>
        <w:tc>
          <w:tcPr>
            <w:tcW w:w="1600" w:type="dxa"/>
          </w:tcPr>
          <w:p w14:paraId="418407AC"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-0,014***</w:t>
            </w:r>
          </w:p>
          <w:p w14:paraId="01272A47"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(-14,34)</w:t>
            </w:r>
          </w:p>
        </w:tc>
        <w:tc>
          <w:tcPr>
            <w:tcW w:w="1615" w:type="dxa"/>
          </w:tcPr>
          <w:p w14:paraId="568DA2A2" w14:textId="77777777" w:rsidR="008F7BE7" w:rsidRPr="00FE2EDE" w:rsidRDefault="008F7BE7" w:rsidP="00B70EE8">
            <w:pPr>
              <w:pStyle w:val="NoSpacing"/>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0,04</w:t>
            </w:r>
          </w:p>
        </w:tc>
      </w:tr>
      <w:tr w:rsidR="00FE2EDE" w:rsidRPr="00FE2EDE" w14:paraId="37F1BDEB" w14:textId="77777777" w:rsidTr="00113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10694D8" w14:textId="77777777" w:rsidR="008F7BE7" w:rsidRPr="0011380C" w:rsidRDefault="008F7BE7" w:rsidP="00B70EE8">
            <w:pPr>
              <w:pStyle w:val="NoSpacing"/>
              <w:spacing w:before="0" w:line="276" w:lineRule="auto"/>
              <w:rPr>
                <w:rFonts w:ascii="Times New Roman" w:hAnsi="Times New Roman" w:cs="Times New Roman"/>
                <w:sz w:val="24"/>
                <w:szCs w:val="24"/>
              </w:rPr>
            </w:pPr>
            <w:r w:rsidRPr="0011380C">
              <w:rPr>
                <w:rFonts w:ascii="Times New Roman" w:hAnsi="Times New Roman" w:cs="Times New Roman"/>
                <w:sz w:val="24"/>
                <w:szCs w:val="24"/>
              </w:rPr>
              <w:t>Stopa nezaposlenosti</w:t>
            </w:r>
          </w:p>
        </w:tc>
        <w:tc>
          <w:tcPr>
            <w:tcW w:w="1216" w:type="dxa"/>
            <w:shd w:val="clear" w:color="auto" w:fill="DEEAF6" w:themeFill="accent1" w:themeFillTint="33"/>
          </w:tcPr>
          <w:p w14:paraId="54891781"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-0,021***</w:t>
            </w:r>
          </w:p>
          <w:p w14:paraId="2A57A56D"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(-22,45)</w:t>
            </w:r>
          </w:p>
        </w:tc>
        <w:tc>
          <w:tcPr>
            <w:tcW w:w="1761" w:type="dxa"/>
            <w:shd w:val="clear" w:color="auto" w:fill="DEEAF6" w:themeFill="accent1" w:themeFillTint="33"/>
          </w:tcPr>
          <w:p w14:paraId="7F722035"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0,16</w:t>
            </w:r>
          </w:p>
        </w:tc>
        <w:tc>
          <w:tcPr>
            <w:tcW w:w="1600" w:type="dxa"/>
            <w:shd w:val="clear" w:color="auto" w:fill="DEEAF6" w:themeFill="accent1" w:themeFillTint="33"/>
          </w:tcPr>
          <w:p w14:paraId="584A9ABF"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-0,01***</w:t>
            </w:r>
          </w:p>
          <w:p w14:paraId="411F7737"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(-20,75)</w:t>
            </w:r>
          </w:p>
        </w:tc>
        <w:tc>
          <w:tcPr>
            <w:tcW w:w="1615" w:type="dxa"/>
            <w:shd w:val="clear" w:color="auto" w:fill="DEEAF6" w:themeFill="accent1" w:themeFillTint="33"/>
          </w:tcPr>
          <w:p w14:paraId="6F2D4D0C" w14:textId="77777777" w:rsidR="008F7BE7" w:rsidRPr="00FE2EDE" w:rsidRDefault="008F7BE7" w:rsidP="00B70EE8">
            <w:pPr>
              <w:pStyle w:val="NoSpacing"/>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EDE">
              <w:rPr>
                <w:rFonts w:ascii="Times New Roman" w:hAnsi="Times New Roman" w:cs="Times New Roman"/>
                <w:sz w:val="24"/>
                <w:szCs w:val="24"/>
              </w:rPr>
              <w:t>0,07</w:t>
            </w:r>
          </w:p>
        </w:tc>
      </w:tr>
    </w:tbl>
    <w:p w14:paraId="500FC440" w14:textId="77777777" w:rsidR="008F7BE7" w:rsidRPr="00C0186C" w:rsidRDefault="008F7BE7" w:rsidP="00B70EE8">
      <w:pPr>
        <w:pStyle w:val="NoSpacing"/>
        <w:spacing w:before="0" w:line="276" w:lineRule="auto"/>
        <w:rPr>
          <w:rFonts w:ascii="Times New Roman" w:hAnsi="Times New Roman" w:cs="Times New Roman"/>
        </w:rPr>
      </w:pPr>
      <w:r w:rsidRPr="00C0186C">
        <w:rPr>
          <w:rFonts w:ascii="Times New Roman" w:hAnsi="Times New Roman" w:cs="Times New Roman"/>
        </w:rPr>
        <w:t>Izvor: Izračun autora temeljem podataka Ministarstva financija i DZS-a</w:t>
      </w:r>
    </w:p>
    <w:p w14:paraId="07E8A9F7" w14:textId="77777777" w:rsidR="008F7BE7" w:rsidRPr="00C0186C" w:rsidRDefault="008F7BE7" w:rsidP="00B70EE8">
      <w:pPr>
        <w:pStyle w:val="NoSpacing"/>
        <w:spacing w:before="0" w:line="276" w:lineRule="auto"/>
        <w:rPr>
          <w:rFonts w:ascii="Times New Roman" w:hAnsi="Times New Roman" w:cs="Times New Roman"/>
          <w:sz w:val="24"/>
          <w:szCs w:val="24"/>
        </w:rPr>
      </w:pPr>
    </w:p>
    <w:p w14:paraId="03CD0CA0" w14:textId="5A194B14" w:rsidR="008F7BE7" w:rsidRDefault="008F7BE7" w:rsidP="00B70EE8">
      <w:pPr>
        <w:pStyle w:val="NoSpacing"/>
        <w:spacing w:before="0"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Rezultati panel regresijske analize jedinica lokalne samouprave sa statusom potpomognutih područja ukazuju na pozitivno djelovanje pomoći na ostvareni dohodak lokalnog stanovništva, povećanje izvornih proračunskih prihoda te smanjenje stope nezaposlenosti. Dakle, primljene pomoći nedvojbeno imaju pozitivne gospodarske učinke. S obzirom da su sve varijable (osim stope nezaposlenosti) izražene u logaritmima, koeficijente možemo promatrati kao postotne promjene zavisne varijable u odnosu na postotno povećanje pomoći. Drugim riječima, povećanje primljene pomoći za 1% povećava dohodak po glavi stanovnika za 0,06% te izvorne proračunske prihode po glavi stanovnika za 0,09%. Unatoč pozitivnom djelovanju na gospodarske rezultate, možemo vidjeti da primljene pomoći imaju negativan učinak na kretanje stanovništva. Međutim, ovakve rezultate ne treba tumačiti na način da pomoći pogoršavaju demografske pokazatelje. Suprotno tome, može se ustvrditi da pozitivni učinci pomoći nisu bili dovoljni da bi zaustavili negativna demografska kretanja te da su područja koja su primila veće iznose pomoći u većim demografskim problemima. Također, važno je istaknuti da je stupanj objašnjenja varijance regresijske jednadžbe u svim modelima izrazito nizak. Naime, utjecaj pomoći objašnjava samo 13% kretanja dohotka po glavi stanovnika, 5% kretanja izvornih proračunskih prihoda, 11% kretanja broja stanovnika te 16% kretanja stope nezaposlenosti. Drugim riječima, možemo zaključiti da su učinci pomoći na relevantne varijable </w:t>
      </w:r>
      <w:r w:rsidR="00602480" w:rsidRPr="00C0186C">
        <w:rPr>
          <w:rFonts w:ascii="Times New Roman" w:hAnsi="Times New Roman" w:cs="Times New Roman"/>
          <w:sz w:val="24"/>
          <w:szCs w:val="24"/>
        </w:rPr>
        <w:t>nedovoljno izdašni</w:t>
      </w:r>
      <w:r w:rsidRPr="00C0186C">
        <w:rPr>
          <w:rFonts w:ascii="Times New Roman" w:hAnsi="Times New Roman" w:cs="Times New Roman"/>
          <w:sz w:val="24"/>
          <w:szCs w:val="24"/>
        </w:rPr>
        <w:t xml:space="preserve"> (temeljem izračuna koeficijenata) te niski (s obzirom na R</w:t>
      </w:r>
      <w:r w:rsidRPr="00C0186C">
        <w:rPr>
          <w:rFonts w:ascii="Times New Roman" w:hAnsi="Times New Roman" w:cs="Times New Roman"/>
          <w:sz w:val="24"/>
          <w:szCs w:val="24"/>
          <w:vertAlign w:val="superscript"/>
        </w:rPr>
        <w:t>2</w:t>
      </w:r>
      <w:r w:rsidRPr="00C0186C">
        <w:rPr>
          <w:rFonts w:ascii="Times New Roman" w:hAnsi="Times New Roman" w:cs="Times New Roman"/>
          <w:sz w:val="24"/>
          <w:szCs w:val="24"/>
        </w:rPr>
        <w:t>). Kada se usporede regresijski rezultati za sve JLS</w:t>
      </w:r>
      <w:r w:rsidR="003F2A07" w:rsidRPr="00C0186C">
        <w:rPr>
          <w:rFonts w:ascii="Times New Roman" w:hAnsi="Times New Roman" w:cs="Times New Roman"/>
          <w:sz w:val="24"/>
          <w:szCs w:val="24"/>
        </w:rPr>
        <w:t>-ove</w:t>
      </w:r>
      <w:r w:rsidRPr="00C0186C">
        <w:rPr>
          <w:rFonts w:ascii="Times New Roman" w:hAnsi="Times New Roman" w:cs="Times New Roman"/>
          <w:sz w:val="24"/>
          <w:szCs w:val="24"/>
        </w:rPr>
        <w:t xml:space="preserve"> nameću se identični rezultati, osim što je, očekivano, utjecaj pomoći za razvijenije JLS</w:t>
      </w:r>
      <w:r w:rsidR="003F2A07" w:rsidRPr="00C0186C">
        <w:rPr>
          <w:rFonts w:ascii="Times New Roman" w:hAnsi="Times New Roman" w:cs="Times New Roman"/>
          <w:sz w:val="24"/>
          <w:szCs w:val="24"/>
        </w:rPr>
        <w:t>-ove</w:t>
      </w:r>
      <w:r w:rsidRPr="00C0186C">
        <w:rPr>
          <w:rFonts w:ascii="Times New Roman" w:hAnsi="Times New Roman" w:cs="Times New Roman"/>
          <w:sz w:val="24"/>
          <w:szCs w:val="24"/>
        </w:rPr>
        <w:t xml:space="preserve"> značajno manji (i s obzirom na regresijske koeficijente i kretanje varijance zavisne varijable). </w:t>
      </w:r>
    </w:p>
    <w:p w14:paraId="1762284B" w14:textId="77777777" w:rsidR="000A0C49" w:rsidRPr="00C0186C" w:rsidRDefault="000A0C49" w:rsidP="00B70EE8">
      <w:pPr>
        <w:pStyle w:val="NoSpacing"/>
        <w:spacing w:before="0" w:line="276" w:lineRule="auto"/>
        <w:jc w:val="both"/>
        <w:rPr>
          <w:rFonts w:ascii="Times New Roman" w:hAnsi="Times New Roman" w:cs="Times New Roman"/>
          <w:sz w:val="24"/>
          <w:szCs w:val="24"/>
        </w:rPr>
      </w:pPr>
    </w:p>
    <w:p w14:paraId="3B07CA3B" w14:textId="46BC2155" w:rsidR="008F7BE7" w:rsidRPr="00C0186C" w:rsidRDefault="008F7BE7" w:rsidP="000A0C49">
      <w:pPr>
        <w:pStyle w:val="NoSpacing"/>
        <w:pBdr>
          <w:bottom w:val="single" w:sz="4" w:space="1" w:color="FFFFFF" w:themeColor="background1"/>
        </w:pBdr>
        <w:spacing w:line="276" w:lineRule="auto"/>
        <w:jc w:val="both"/>
        <w:rPr>
          <w:rFonts w:ascii="Times New Roman" w:hAnsi="Times New Roman" w:cs="Times New Roman"/>
          <w:sz w:val="24"/>
          <w:szCs w:val="24"/>
        </w:rPr>
      </w:pPr>
      <w:r w:rsidRPr="00C0186C">
        <w:rPr>
          <w:rFonts w:ascii="Times New Roman" w:hAnsi="Times New Roman" w:cs="Times New Roman"/>
          <w:sz w:val="24"/>
          <w:szCs w:val="24"/>
        </w:rPr>
        <w:t>Zaključno, kada je riječ o dosadašnjim učincima pomoći na razvoj potpomognutih područja mogu se izdvojiti sljedeća zapažanja:</w:t>
      </w:r>
    </w:p>
    <w:p w14:paraId="34E60689" w14:textId="77777777" w:rsidR="008F7BE7" w:rsidRPr="00C0186C" w:rsidRDefault="008F7BE7" w:rsidP="000A0C49">
      <w:pPr>
        <w:pStyle w:val="NoSpacing"/>
        <w:numPr>
          <w:ilvl w:val="0"/>
          <w:numId w:val="5"/>
        </w:numPr>
        <w:spacing w:line="276" w:lineRule="auto"/>
        <w:jc w:val="both"/>
        <w:rPr>
          <w:rFonts w:ascii="Times New Roman" w:hAnsi="Times New Roman" w:cs="Times New Roman"/>
          <w:sz w:val="24"/>
          <w:szCs w:val="24"/>
        </w:rPr>
      </w:pPr>
      <w:r w:rsidRPr="00C0186C">
        <w:rPr>
          <w:rFonts w:ascii="Times New Roman" w:hAnsi="Times New Roman" w:cs="Times New Roman"/>
          <w:sz w:val="24"/>
          <w:szCs w:val="24"/>
        </w:rPr>
        <w:t>Iznos primljenih pomoći povećava se u apsolutnom i relativnom smislu tek od 2014. godine te, imajući u vidu značajno smanjenje pomoći tijekom ekonomsko-financijske krize, možemo ustvrditi da sustav pomoći nije bio dovoljno izdašan da bi zaustavio nepovoljna demografska i gospodarska kretanja u dugom roku; ipak, treba reći da je u razdoblju od 2015. do 2019. godine došlo do obrata, posebno u pogledu gospodarskih kretanja koja se mogu pripisati uzlaznom gospodarskom ciklusu, ali i značajnom povećanju bespovratni sredstava EU, posebno od 2018. godine;</w:t>
      </w:r>
    </w:p>
    <w:p w14:paraId="77958C15" w14:textId="77777777" w:rsidR="008F7BE7" w:rsidRPr="00C0186C" w:rsidRDefault="008F7BE7" w:rsidP="000A0C49">
      <w:pPr>
        <w:pStyle w:val="NoSpacing"/>
        <w:numPr>
          <w:ilvl w:val="0"/>
          <w:numId w:val="5"/>
        </w:numPr>
        <w:spacing w:line="276" w:lineRule="auto"/>
        <w:jc w:val="both"/>
        <w:rPr>
          <w:rFonts w:ascii="Times New Roman" w:hAnsi="Times New Roman" w:cs="Times New Roman"/>
          <w:sz w:val="24"/>
          <w:szCs w:val="24"/>
        </w:rPr>
      </w:pPr>
      <w:r w:rsidRPr="00C0186C">
        <w:rPr>
          <w:rFonts w:ascii="Times New Roman" w:hAnsi="Times New Roman" w:cs="Times New Roman"/>
          <w:sz w:val="24"/>
          <w:szCs w:val="24"/>
        </w:rPr>
        <w:t xml:space="preserve">Sustav fiskalnog izravnanja karakteriziraju </w:t>
      </w:r>
      <w:proofErr w:type="spellStart"/>
      <w:r w:rsidRPr="00C0186C">
        <w:rPr>
          <w:rFonts w:ascii="Times New Roman" w:hAnsi="Times New Roman" w:cs="Times New Roman"/>
          <w:sz w:val="24"/>
          <w:szCs w:val="24"/>
        </w:rPr>
        <w:t>prociklička</w:t>
      </w:r>
      <w:proofErr w:type="spellEnd"/>
      <w:r w:rsidRPr="00C0186C">
        <w:rPr>
          <w:rFonts w:ascii="Times New Roman" w:hAnsi="Times New Roman" w:cs="Times New Roman"/>
          <w:sz w:val="24"/>
          <w:szCs w:val="24"/>
        </w:rPr>
        <w:t xml:space="preserve"> kretanja, odnosno prihodi od pomoći rastu u vrijeme konjunkture dok se za vrijeme krize smanjuju što je posebno nepovoljno za JLS</w:t>
      </w:r>
      <w:r w:rsidR="003F2A07" w:rsidRPr="00C0186C">
        <w:rPr>
          <w:rFonts w:ascii="Times New Roman" w:hAnsi="Times New Roman" w:cs="Times New Roman"/>
          <w:sz w:val="24"/>
          <w:szCs w:val="24"/>
        </w:rPr>
        <w:t>-ove</w:t>
      </w:r>
      <w:r w:rsidRPr="00C0186C">
        <w:rPr>
          <w:rFonts w:ascii="Times New Roman" w:hAnsi="Times New Roman" w:cs="Times New Roman"/>
          <w:sz w:val="24"/>
          <w:szCs w:val="24"/>
        </w:rPr>
        <w:t xml:space="preserve"> sa statusom potpomognutih područja s obzirom na njihovu osjetljiviju gospodarsku strukturu te veću ovisnost proračuna o transferima središnje države; takvo stanje upozorava na opasnost od asimetričnog negativnog učinka nove ekonomsko-financijske krize uzrokovane </w:t>
      </w:r>
      <w:proofErr w:type="spellStart"/>
      <w:r w:rsidRPr="00C0186C">
        <w:rPr>
          <w:rFonts w:ascii="Times New Roman" w:hAnsi="Times New Roman" w:cs="Times New Roman"/>
          <w:sz w:val="24"/>
          <w:szCs w:val="24"/>
        </w:rPr>
        <w:t>pandemijom</w:t>
      </w:r>
      <w:proofErr w:type="spellEnd"/>
      <w:r w:rsidRPr="00C0186C">
        <w:rPr>
          <w:rFonts w:ascii="Times New Roman" w:hAnsi="Times New Roman" w:cs="Times New Roman"/>
          <w:sz w:val="24"/>
          <w:szCs w:val="24"/>
        </w:rPr>
        <w:t xml:space="preserve"> virusa COVID-19, posebno na ranjive JLS</w:t>
      </w:r>
      <w:r w:rsidR="003F2A07" w:rsidRPr="00C0186C">
        <w:rPr>
          <w:rFonts w:ascii="Times New Roman" w:hAnsi="Times New Roman" w:cs="Times New Roman"/>
          <w:sz w:val="24"/>
          <w:szCs w:val="24"/>
        </w:rPr>
        <w:t>-ove</w:t>
      </w:r>
      <w:r w:rsidRPr="00C0186C">
        <w:rPr>
          <w:rFonts w:ascii="Times New Roman" w:hAnsi="Times New Roman" w:cs="Times New Roman"/>
          <w:sz w:val="24"/>
          <w:szCs w:val="24"/>
        </w:rPr>
        <w:t xml:space="preserve"> na prostoru PP</w:t>
      </w:r>
      <w:r w:rsidR="003F2A07" w:rsidRPr="00C0186C">
        <w:rPr>
          <w:rFonts w:ascii="Times New Roman" w:hAnsi="Times New Roman" w:cs="Times New Roman"/>
          <w:sz w:val="24"/>
          <w:szCs w:val="24"/>
        </w:rPr>
        <w:t>-a</w:t>
      </w:r>
      <w:r w:rsidRPr="00C0186C">
        <w:rPr>
          <w:rFonts w:ascii="Times New Roman" w:hAnsi="Times New Roman" w:cs="Times New Roman"/>
          <w:sz w:val="24"/>
          <w:szCs w:val="24"/>
        </w:rPr>
        <w:t>;</w:t>
      </w:r>
    </w:p>
    <w:p w14:paraId="3F2C0B6C" w14:textId="77777777" w:rsidR="008F7BE7" w:rsidRPr="00C0186C" w:rsidRDefault="008F7BE7" w:rsidP="000A0C49">
      <w:pPr>
        <w:pStyle w:val="NoSpacing"/>
        <w:numPr>
          <w:ilvl w:val="0"/>
          <w:numId w:val="5"/>
        </w:numPr>
        <w:spacing w:line="276" w:lineRule="auto"/>
        <w:jc w:val="both"/>
        <w:rPr>
          <w:rFonts w:ascii="Times New Roman" w:hAnsi="Times New Roman" w:cs="Times New Roman"/>
          <w:sz w:val="24"/>
          <w:szCs w:val="24"/>
        </w:rPr>
      </w:pPr>
      <w:r w:rsidRPr="00C0186C">
        <w:rPr>
          <w:rFonts w:ascii="Times New Roman" w:hAnsi="Times New Roman" w:cs="Times New Roman"/>
          <w:sz w:val="24"/>
          <w:szCs w:val="24"/>
        </w:rPr>
        <w:t>Iznosi primljene pomoći iz izvora fondova Europske unije značajno se povećava od 2015. godine, međutim, tek 2018. godine može se primijetiti veća raspodjela u korist lokalnih samouprava u potpomognutim područjima;</w:t>
      </w:r>
    </w:p>
    <w:p w14:paraId="1B0B9CBA" w14:textId="6D1B8FF3" w:rsidR="003F5767" w:rsidRPr="000A0C49" w:rsidRDefault="008F7BE7" w:rsidP="000A0C49">
      <w:pPr>
        <w:pStyle w:val="NoSpacing"/>
        <w:numPr>
          <w:ilvl w:val="0"/>
          <w:numId w:val="5"/>
        </w:numPr>
        <w:spacing w:after="240" w:line="276" w:lineRule="auto"/>
        <w:jc w:val="both"/>
        <w:rPr>
          <w:rFonts w:ascii="Times New Roman" w:hAnsi="Times New Roman" w:cs="Times New Roman"/>
          <w:sz w:val="24"/>
          <w:szCs w:val="24"/>
        </w:rPr>
      </w:pPr>
      <w:r w:rsidRPr="000A0C49">
        <w:rPr>
          <w:rFonts w:ascii="Times New Roman" w:hAnsi="Times New Roman" w:cs="Times New Roman"/>
          <w:sz w:val="24"/>
          <w:szCs w:val="24"/>
        </w:rPr>
        <w:t>Empirijska analiza pokazuje da je dosadašnji sustav poticanja razvoja pomoćima središnje države i fondova Europske unije bio nedovoljno efikasan i nedovoljno izdašan da bi zaustavio te preokrenuo negativne gospodarske i demografske trendove. Ipak, značajno povećanje primljenih bespovratnih pomoći u razdoblju od 2015. godine pokazuje pozitivne refleksije na gospodarska kretanja te ostaje vidjeti hoće li se stanje poboljšati i po pitanju demografskih pokazatelja.</w:t>
      </w:r>
    </w:p>
    <w:p w14:paraId="27884531" w14:textId="77777777" w:rsidR="003F5767" w:rsidRPr="00C0186C" w:rsidRDefault="003F5767" w:rsidP="00B70EE8">
      <w:pPr>
        <w:pStyle w:val="NoSpacing"/>
        <w:spacing w:before="0" w:line="276" w:lineRule="auto"/>
        <w:rPr>
          <w:rFonts w:ascii="Times New Roman" w:hAnsi="Times New Roman" w:cs="Times New Roman"/>
          <w:sz w:val="24"/>
          <w:szCs w:val="24"/>
        </w:rPr>
      </w:pPr>
    </w:p>
    <w:p w14:paraId="31D3366D" w14:textId="77777777" w:rsidR="003F5767" w:rsidRPr="00C0186C" w:rsidRDefault="003F5767" w:rsidP="00B70EE8">
      <w:pPr>
        <w:pStyle w:val="NoSpacing"/>
        <w:spacing w:before="0" w:line="276" w:lineRule="auto"/>
        <w:rPr>
          <w:rFonts w:ascii="Times New Roman" w:hAnsi="Times New Roman" w:cs="Times New Roman"/>
          <w:sz w:val="24"/>
          <w:szCs w:val="24"/>
        </w:rPr>
      </w:pPr>
    </w:p>
    <w:p w14:paraId="0EDBD455" w14:textId="77777777" w:rsidR="003F5767" w:rsidRPr="00C0186C" w:rsidRDefault="003F5767" w:rsidP="00B70EE8">
      <w:pPr>
        <w:pStyle w:val="NoSpacing"/>
        <w:spacing w:before="0" w:line="276" w:lineRule="auto"/>
        <w:rPr>
          <w:rFonts w:ascii="Times New Roman" w:hAnsi="Times New Roman" w:cs="Times New Roman"/>
          <w:sz w:val="24"/>
          <w:szCs w:val="24"/>
        </w:rPr>
      </w:pPr>
    </w:p>
    <w:p w14:paraId="226D8777" w14:textId="77777777" w:rsidR="003F5767" w:rsidRPr="00C0186C" w:rsidRDefault="003F5767" w:rsidP="00B70EE8">
      <w:pPr>
        <w:pStyle w:val="NoSpacing"/>
        <w:spacing w:before="0" w:line="276" w:lineRule="auto"/>
        <w:rPr>
          <w:rFonts w:ascii="Times New Roman" w:hAnsi="Times New Roman" w:cs="Times New Roman"/>
          <w:sz w:val="24"/>
          <w:szCs w:val="24"/>
        </w:rPr>
      </w:pPr>
    </w:p>
    <w:p w14:paraId="5EF297C0" w14:textId="77777777" w:rsidR="003F5767" w:rsidRPr="00C0186C" w:rsidRDefault="003F5767" w:rsidP="00B70EE8">
      <w:pPr>
        <w:pStyle w:val="NoSpacing"/>
        <w:spacing w:before="0" w:line="276" w:lineRule="auto"/>
        <w:rPr>
          <w:rFonts w:ascii="Times New Roman" w:hAnsi="Times New Roman" w:cs="Times New Roman"/>
          <w:sz w:val="24"/>
          <w:szCs w:val="24"/>
        </w:rPr>
      </w:pPr>
    </w:p>
    <w:p w14:paraId="1BB49172" w14:textId="77777777" w:rsidR="003F5767" w:rsidRPr="00C0186C" w:rsidRDefault="003F5767" w:rsidP="00B70EE8">
      <w:pPr>
        <w:pStyle w:val="NoSpacing"/>
        <w:spacing w:before="0" w:line="276" w:lineRule="auto"/>
        <w:rPr>
          <w:rFonts w:ascii="Times New Roman" w:hAnsi="Times New Roman" w:cs="Times New Roman"/>
          <w:sz w:val="24"/>
          <w:szCs w:val="24"/>
        </w:rPr>
      </w:pPr>
    </w:p>
    <w:p w14:paraId="793C7D14" w14:textId="77777777" w:rsidR="003F5767" w:rsidRPr="00C0186C" w:rsidRDefault="003F5767" w:rsidP="00B70EE8">
      <w:pPr>
        <w:pStyle w:val="NoSpacing"/>
        <w:spacing w:before="0" w:line="276" w:lineRule="auto"/>
        <w:rPr>
          <w:rFonts w:ascii="Times New Roman" w:hAnsi="Times New Roman" w:cs="Times New Roman"/>
          <w:sz w:val="24"/>
          <w:szCs w:val="24"/>
        </w:rPr>
      </w:pPr>
    </w:p>
    <w:p w14:paraId="20977116" w14:textId="77777777" w:rsidR="003F5767" w:rsidRPr="00C0186C" w:rsidRDefault="003F5767" w:rsidP="00B70EE8">
      <w:pPr>
        <w:pStyle w:val="NoSpacing"/>
        <w:spacing w:before="0" w:line="276" w:lineRule="auto"/>
        <w:rPr>
          <w:rFonts w:ascii="Times New Roman" w:hAnsi="Times New Roman" w:cs="Times New Roman"/>
          <w:sz w:val="24"/>
          <w:szCs w:val="24"/>
        </w:rPr>
      </w:pPr>
    </w:p>
    <w:p w14:paraId="3C14BA4D" w14:textId="4A47C901" w:rsidR="003F5767" w:rsidRDefault="003F5767" w:rsidP="00B70EE8">
      <w:pPr>
        <w:pStyle w:val="NoSpacing"/>
        <w:spacing w:before="0" w:line="276" w:lineRule="auto"/>
        <w:rPr>
          <w:rFonts w:ascii="Times New Roman" w:hAnsi="Times New Roman" w:cs="Times New Roman"/>
          <w:sz w:val="24"/>
          <w:szCs w:val="24"/>
        </w:rPr>
      </w:pPr>
    </w:p>
    <w:p w14:paraId="3EF70115" w14:textId="77777777" w:rsidR="004727D0" w:rsidRPr="00C0186C" w:rsidRDefault="004727D0" w:rsidP="00B70EE8">
      <w:pPr>
        <w:pStyle w:val="NoSpacing"/>
        <w:spacing w:before="0" w:line="276" w:lineRule="auto"/>
        <w:rPr>
          <w:rFonts w:ascii="Times New Roman" w:hAnsi="Times New Roman" w:cs="Times New Roman"/>
          <w:sz w:val="24"/>
          <w:szCs w:val="24"/>
        </w:rPr>
      </w:pPr>
    </w:p>
    <w:p w14:paraId="5015CC76" w14:textId="68E99E20" w:rsidR="00474737" w:rsidRDefault="00354A05" w:rsidP="006F2AD7">
      <w:pPr>
        <w:pStyle w:val="Heading1"/>
        <w:numPr>
          <w:ilvl w:val="0"/>
          <w:numId w:val="42"/>
        </w:numPr>
        <w:shd w:val="clear" w:color="auto" w:fill="DEEAF6" w:themeFill="accent1" w:themeFillTint="33"/>
        <w:tabs>
          <w:tab w:val="left" w:pos="567"/>
        </w:tabs>
        <w:spacing w:before="0"/>
        <w:ind w:left="426" w:hanging="426"/>
        <w:jc w:val="both"/>
        <w:rPr>
          <w:rFonts w:ascii="Times New Roman" w:hAnsi="Times New Roman" w:cs="Times New Roman"/>
          <w:b/>
          <w:bCs/>
          <w:color w:val="auto"/>
          <w:sz w:val="28"/>
          <w:szCs w:val="28"/>
        </w:rPr>
      </w:pPr>
      <w:bookmarkStart w:id="13" w:name="_Toc95891859"/>
      <w:r w:rsidRPr="0020344C">
        <w:rPr>
          <w:rFonts w:ascii="Times New Roman" w:hAnsi="Times New Roman" w:cs="Times New Roman"/>
          <w:b/>
          <w:bCs/>
          <w:color w:val="auto"/>
          <w:sz w:val="28"/>
          <w:szCs w:val="28"/>
        </w:rPr>
        <w:t xml:space="preserve">KONCEPTUALNA POLAZIŠTA ZA </w:t>
      </w:r>
      <w:r w:rsidR="00B40319" w:rsidRPr="0020344C">
        <w:rPr>
          <w:rFonts w:ascii="Times New Roman" w:hAnsi="Times New Roman" w:cs="Times New Roman"/>
          <w:b/>
          <w:bCs/>
          <w:color w:val="auto"/>
          <w:sz w:val="28"/>
          <w:szCs w:val="28"/>
        </w:rPr>
        <w:t>IZRADU</w:t>
      </w:r>
      <w:r w:rsidRPr="0020344C">
        <w:rPr>
          <w:rFonts w:ascii="Times New Roman" w:hAnsi="Times New Roman" w:cs="Times New Roman"/>
          <w:b/>
          <w:bCs/>
          <w:color w:val="auto"/>
          <w:sz w:val="28"/>
          <w:szCs w:val="28"/>
        </w:rPr>
        <w:t xml:space="preserve"> PROGRAMA </w:t>
      </w:r>
      <w:r w:rsidR="00B40319" w:rsidRPr="0020344C">
        <w:rPr>
          <w:rFonts w:ascii="Times New Roman" w:hAnsi="Times New Roman" w:cs="Times New Roman"/>
          <w:b/>
          <w:bCs/>
          <w:color w:val="auto"/>
          <w:sz w:val="28"/>
          <w:szCs w:val="28"/>
        </w:rPr>
        <w:t>I CILJEV</w:t>
      </w:r>
      <w:r w:rsidR="00D52072" w:rsidRPr="0020344C">
        <w:rPr>
          <w:rFonts w:ascii="Times New Roman" w:hAnsi="Times New Roman" w:cs="Times New Roman"/>
          <w:b/>
          <w:bCs/>
          <w:color w:val="auto"/>
          <w:sz w:val="28"/>
          <w:szCs w:val="28"/>
        </w:rPr>
        <w:t>I</w:t>
      </w:r>
      <w:r w:rsidR="00B40319" w:rsidRPr="0020344C">
        <w:rPr>
          <w:rFonts w:ascii="Times New Roman" w:hAnsi="Times New Roman" w:cs="Times New Roman"/>
          <w:b/>
          <w:bCs/>
          <w:color w:val="auto"/>
          <w:sz w:val="28"/>
          <w:szCs w:val="28"/>
        </w:rPr>
        <w:t xml:space="preserve"> PROGRAMA</w:t>
      </w:r>
      <w:bookmarkEnd w:id="13"/>
    </w:p>
    <w:p w14:paraId="200FBBF2" w14:textId="77777777" w:rsidR="0020344C" w:rsidRPr="0020344C" w:rsidRDefault="0020344C" w:rsidP="0020344C">
      <w:pPr>
        <w:spacing w:before="0" w:after="0"/>
        <w:rPr>
          <w:rFonts w:ascii="Times New Roman" w:hAnsi="Times New Roman" w:cs="Times New Roman"/>
          <w:sz w:val="24"/>
          <w:szCs w:val="24"/>
        </w:rPr>
      </w:pPr>
    </w:p>
    <w:p w14:paraId="6F519D37" w14:textId="77777777" w:rsidR="007B2688" w:rsidRPr="00C0186C" w:rsidRDefault="00474737"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U okviru ovog poglavlja ukratko je elaboriran konceptualni okvir izrade i provedbe Programa te su sukladno tome definirani i razrađeni pristupi i načini njegova ostvarenja.</w:t>
      </w:r>
    </w:p>
    <w:p w14:paraId="7BE57D8E" w14:textId="77777777" w:rsidR="00CA5B58" w:rsidRPr="00567391" w:rsidRDefault="00CA5B58" w:rsidP="00567391">
      <w:pPr>
        <w:spacing w:before="0" w:after="0"/>
        <w:jc w:val="both"/>
        <w:rPr>
          <w:rFonts w:ascii="Times New Roman" w:hAnsi="Times New Roman" w:cs="Times New Roman"/>
          <w:bCs/>
          <w:sz w:val="24"/>
          <w:szCs w:val="24"/>
        </w:rPr>
      </w:pPr>
    </w:p>
    <w:p w14:paraId="5F849B4B" w14:textId="77777777" w:rsidR="007B2688" w:rsidRPr="00C0186C" w:rsidRDefault="008E2760" w:rsidP="00B70EE8">
      <w:pPr>
        <w:pStyle w:val="Heading2"/>
        <w:spacing w:before="0"/>
        <w:rPr>
          <w:rFonts w:ascii="Times New Roman" w:hAnsi="Times New Roman" w:cs="Times New Roman"/>
          <w:sz w:val="24"/>
          <w:szCs w:val="24"/>
        </w:rPr>
      </w:pPr>
      <w:bookmarkStart w:id="14" w:name="_Toc95891860"/>
      <w:r w:rsidRPr="00C0186C">
        <w:rPr>
          <w:rFonts w:ascii="Times New Roman" w:hAnsi="Times New Roman" w:cs="Times New Roman"/>
          <w:b/>
          <w:bCs/>
          <w:sz w:val="24"/>
          <w:szCs w:val="24"/>
        </w:rPr>
        <w:t>4.1.</w:t>
      </w:r>
      <w:r w:rsidRPr="00C0186C">
        <w:rPr>
          <w:rFonts w:ascii="Times New Roman" w:hAnsi="Times New Roman" w:cs="Times New Roman"/>
          <w:sz w:val="24"/>
          <w:szCs w:val="24"/>
        </w:rPr>
        <w:t xml:space="preserve"> </w:t>
      </w:r>
      <w:r w:rsidR="007B2688" w:rsidRPr="00C0186C">
        <w:rPr>
          <w:rFonts w:ascii="Times New Roman" w:hAnsi="Times New Roman" w:cs="Times New Roman"/>
          <w:b/>
          <w:bCs/>
          <w:sz w:val="24"/>
          <w:szCs w:val="24"/>
        </w:rPr>
        <w:t>K</w:t>
      </w:r>
      <w:r w:rsidR="00D52072" w:rsidRPr="00C0186C">
        <w:rPr>
          <w:rFonts w:ascii="Times New Roman" w:hAnsi="Times New Roman" w:cs="Times New Roman"/>
          <w:b/>
          <w:bCs/>
          <w:sz w:val="24"/>
          <w:szCs w:val="24"/>
        </w:rPr>
        <w:t>ONCEPTUALNI OKVIR</w:t>
      </w:r>
      <w:bookmarkEnd w:id="14"/>
      <w:r w:rsidR="00D52072" w:rsidRPr="00C0186C">
        <w:rPr>
          <w:rFonts w:ascii="Times New Roman" w:hAnsi="Times New Roman" w:cs="Times New Roman"/>
          <w:sz w:val="24"/>
          <w:szCs w:val="24"/>
        </w:rPr>
        <w:t xml:space="preserve"> </w:t>
      </w:r>
    </w:p>
    <w:p w14:paraId="7D466329" w14:textId="77777777" w:rsidR="007B2688" w:rsidRPr="00C0186C" w:rsidRDefault="007B2688" w:rsidP="00B70EE8">
      <w:pPr>
        <w:spacing w:before="0" w:after="0"/>
        <w:jc w:val="both"/>
        <w:rPr>
          <w:rFonts w:ascii="Times New Roman" w:hAnsi="Times New Roman" w:cs="Times New Roman"/>
          <w:sz w:val="24"/>
          <w:szCs w:val="24"/>
        </w:rPr>
      </w:pPr>
    </w:p>
    <w:p w14:paraId="105710B6" w14:textId="052C6672" w:rsidR="007B2688" w:rsidRPr="00C0186C" w:rsidRDefault="007B2688" w:rsidP="00B70EE8">
      <w:pPr>
        <w:spacing w:before="0" w:after="120"/>
        <w:jc w:val="both"/>
        <w:rPr>
          <w:rFonts w:ascii="Times New Roman" w:hAnsi="Times New Roman" w:cs="Times New Roman"/>
          <w:sz w:val="24"/>
          <w:szCs w:val="24"/>
        </w:rPr>
      </w:pPr>
      <w:r w:rsidRPr="00C0186C">
        <w:rPr>
          <w:rFonts w:ascii="Times New Roman" w:hAnsi="Times New Roman" w:cs="Times New Roman"/>
          <w:sz w:val="24"/>
          <w:szCs w:val="24"/>
        </w:rPr>
        <w:t>Konceptualni okvir Programa</w:t>
      </w:r>
      <w:r w:rsidR="00BB3CD2" w:rsidRPr="00C0186C">
        <w:rPr>
          <w:rFonts w:ascii="Times New Roman" w:hAnsi="Times New Roman" w:cs="Times New Roman"/>
          <w:sz w:val="24"/>
          <w:szCs w:val="24"/>
        </w:rPr>
        <w:t xml:space="preserve"> održ</w:t>
      </w:r>
      <w:r w:rsidR="00F56083" w:rsidRPr="00C0186C">
        <w:rPr>
          <w:rFonts w:ascii="Times New Roman" w:hAnsi="Times New Roman" w:cs="Times New Roman"/>
          <w:sz w:val="24"/>
          <w:szCs w:val="24"/>
        </w:rPr>
        <w:t xml:space="preserve">ivog društvenog i gospodarskog </w:t>
      </w:r>
      <w:r w:rsidR="00BB3CD2" w:rsidRPr="00C0186C">
        <w:rPr>
          <w:rFonts w:ascii="Times New Roman" w:hAnsi="Times New Roman" w:cs="Times New Roman"/>
          <w:sz w:val="24"/>
          <w:szCs w:val="24"/>
        </w:rPr>
        <w:t>razvoja potpomognutih područja</w:t>
      </w:r>
      <w:r w:rsidRPr="00C0186C">
        <w:rPr>
          <w:rFonts w:ascii="Times New Roman" w:hAnsi="Times New Roman" w:cs="Times New Roman"/>
          <w:sz w:val="24"/>
          <w:szCs w:val="24"/>
        </w:rPr>
        <w:t xml:space="preserve"> za razdoblje od </w:t>
      </w:r>
      <w:r w:rsidR="00063641" w:rsidRPr="00C0186C">
        <w:rPr>
          <w:rFonts w:ascii="Times New Roman" w:hAnsi="Times New Roman" w:cs="Times New Roman"/>
          <w:sz w:val="24"/>
          <w:szCs w:val="24"/>
        </w:rPr>
        <w:t>202</w:t>
      </w:r>
      <w:r w:rsidR="00A759C0">
        <w:rPr>
          <w:rFonts w:ascii="Times New Roman" w:hAnsi="Times New Roman" w:cs="Times New Roman"/>
          <w:sz w:val="24"/>
          <w:szCs w:val="24"/>
        </w:rPr>
        <w:t>2</w:t>
      </w:r>
      <w:r w:rsidR="00063641" w:rsidRPr="00C0186C">
        <w:rPr>
          <w:rFonts w:ascii="Times New Roman" w:hAnsi="Times New Roman" w:cs="Times New Roman"/>
          <w:sz w:val="24"/>
          <w:szCs w:val="24"/>
        </w:rPr>
        <w:t>. do 202</w:t>
      </w:r>
      <w:r w:rsidR="00A759C0">
        <w:rPr>
          <w:rFonts w:ascii="Times New Roman" w:hAnsi="Times New Roman" w:cs="Times New Roman"/>
          <w:sz w:val="24"/>
          <w:szCs w:val="24"/>
        </w:rPr>
        <w:t>5</w:t>
      </w:r>
      <w:r w:rsidR="00063641" w:rsidRPr="00C0186C">
        <w:rPr>
          <w:rFonts w:ascii="Times New Roman" w:hAnsi="Times New Roman" w:cs="Times New Roman"/>
          <w:sz w:val="24"/>
          <w:szCs w:val="24"/>
        </w:rPr>
        <w:t>.</w:t>
      </w:r>
      <w:r w:rsidRPr="00C0186C">
        <w:rPr>
          <w:rFonts w:ascii="Times New Roman" w:hAnsi="Times New Roman" w:cs="Times New Roman"/>
          <w:sz w:val="24"/>
          <w:szCs w:val="24"/>
        </w:rPr>
        <w:t xml:space="preserve"> godine čine sljedeći elementi:</w:t>
      </w:r>
    </w:p>
    <w:p w14:paraId="7728D07C" w14:textId="77777777" w:rsidR="007B2688" w:rsidRPr="00C0186C" w:rsidRDefault="007B2688" w:rsidP="00B70EE8">
      <w:pPr>
        <w:numPr>
          <w:ilvl w:val="0"/>
          <w:numId w:val="4"/>
        </w:numPr>
        <w:spacing w:before="0" w:after="120"/>
        <w:jc w:val="both"/>
        <w:rPr>
          <w:rFonts w:ascii="Times New Roman" w:hAnsi="Times New Roman" w:cs="Times New Roman"/>
          <w:sz w:val="24"/>
          <w:szCs w:val="24"/>
        </w:rPr>
      </w:pPr>
      <w:r w:rsidRPr="00C0186C">
        <w:rPr>
          <w:rFonts w:ascii="Times New Roman" w:hAnsi="Times New Roman" w:cs="Times New Roman"/>
          <w:sz w:val="24"/>
          <w:szCs w:val="24"/>
        </w:rPr>
        <w:t>Zakonodavni, strateški i institucionalni okvir kao ključno polazište izrade Programa;</w:t>
      </w:r>
    </w:p>
    <w:p w14:paraId="73D311FD" w14:textId="77777777" w:rsidR="00F56083" w:rsidRPr="00C0186C" w:rsidRDefault="007B2688" w:rsidP="00B70EE8">
      <w:pPr>
        <w:numPr>
          <w:ilvl w:val="0"/>
          <w:numId w:val="4"/>
        </w:numPr>
        <w:spacing w:before="0" w:after="120"/>
        <w:jc w:val="both"/>
        <w:rPr>
          <w:rFonts w:ascii="Times New Roman" w:hAnsi="Times New Roman" w:cs="Times New Roman"/>
          <w:sz w:val="24"/>
          <w:szCs w:val="24"/>
        </w:rPr>
      </w:pPr>
      <w:r w:rsidRPr="00C0186C">
        <w:rPr>
          <w:rFonts w:ascii="Times New Roman" w:hAnsi="Times New Roman" w:cs="Times New Roman"/>
          <w:sz w:val="24"/>
          <w:szCs w:val="24"/>
        </w:rPr>
        <w:t xml:space="preserve">Rezultati </w:t>
      </w:r>
      <w:r w:rsidR="00BB3CD2" w:rsidRPr="00C0186C">
        <w:rPr>
          <w:rFonts w:ascii="Times New Roman" w:hAnsi="Times New Roman" w:cs="Times New Roman"/>
          <w:sz w:val="24"/>
          <w:szCs w:val="24"/>
        </w:rPr>
        <w:t xml:space="preserve">analize dugoročnih kretanja na </w:t>
      </w:r>
      <w:r w:rsidRPr="00C0186C">
        <w:rPr>
          <w:rFonts w:ascii="Times New Roman" w:hAnsi="Times New Roman" w:cs="Times New Roman"/>
          <w:sz w:val="24"/>
          <w:szCs w:val="24"/>
        </w:rPr>
        <w:t xml:space="preserve">PP temeljene na starom </w:t>
      </w:r>
      <w:r w:rsidR="00BB3CD2" w:rsidRPr="00C0186C">
        <w:rPr>
          <w:rFonts w:ascii="Times New Roman" w:hAnsi="Times New Roman" w:cs="Times New Roman"/>
          <w:sz w:val="24"/>
          <w:szCs w:val="24"/>
        </w:rPr>
        <w:t>izračunu indeksa razvijenosti (obuhvać</w:t>
      </w:r>
      <w:r w:rsidR="00F56083" w:rsidRPr="00C0186C">
        <w:rPr>
          <w:rFonts w:ascii="Times New Roman" w:hAnsi="Times New Roman" w:cs="Times New Roman"/>
          <w:sz w:val="24"/>
          <w:szCs w:val="24"/>
        </w:rPr>
        <w:t>aju razdoblje</w:t>
      </w:r>
      <w:r w:rsidR="00886915" w:rsidRPr="00C0186C">
        <w:rPr>
          <w:rFonts w:ascii="Times New Roman" w:hAnsi="Times New Roman" w:cs="Times New Roman"/>
          <w:sz w:val="24"/>
          <w:szCs w:val="24"/>
        </w:rPr>
        <w:t xml:space="preserve"> od</w:t>
      </w:r>
      <w:r w:rsidR="00063641" w:rsidRPr="00C0186C">
        <w:rPr>
          <w:rFonts w:ascii="Times New Roman" w:hAnsi="Times New Roman" w:cs="Times New Roman"/>
          <w:sz w:val="24"/>
          <w:szCs w:val="24"/>
        </w:rPr>
        <w:t xml:space="preserve"> 2001. do 2019.</w:t>
      </w:r>
      <w:r w:rsidR="00886915" w:rsidRPr="00C0186C">
        <w:rPr>
          <w:rFonts w:ascii="Times New Roman" w:hAnsi="Times New Roman" w:cs="Times New Roman"/>
          <w:sz w:val="24"/>
          <w:szCs w:val="24"/>
        </w:rPr>
        <w:t xml:space="preserve"> godine</w:t>
      </w:r>
      <w:r w:rsidR="00F56083" w:rsidRPr="00C0186C">
        <w:rPr>
          <w:rFonts w:ascii="Times New Roman" w:hAnsi="Times New Roman" w:cs="Times New Roman"/>
          <w:sz w:val="24"/>
          <w:szCs w:val="24"/>
        </w:rPr>
        <w:t>) i ocjeni učinaka dosadašnjih mjera potpore razvoju PP;</w:t>
      </w:r>
    </w:p>
    <w:p w14:paraId="03661B50" w14:textId="77777777" w:rsidR="00F56083" w:rsidRPr="00C0186C" w:rsidRDefault="003252A0" w:rsidP="00B70EE8">
      <w:pPr>
        <w:numPr>
          <w:ilvl w:val="0"/>
          <w:numId w:val="4"/>
        </w:numPr>
        <w:spacing w:before="0" w:after="120"/>
        <w:jc w:val="both"/>
        <w:rPr>
          <w:rFonts w:ascii="Times New Roman" w:hAnsi="Times New Roman" w:cs="Times New Roman"/>
          <w:sz w:val="24"/>
          <w:szCs w:val="24"/>
        </w:rPr>
      </w:pPr>
      <w:r w:rsidRPr="00C0186C">
        <w:rPr>
          <w:rFonts w:ascii="Times New Roman" w:hAnsi="Times New Roman" w:cs="Times New Roman"/>
          <w:sz w:val="24"/>
          <w:szCs w:val="24"/>
        </w:rPr>
        <w:t xml:space="preserve">Rezultati </w:t>
      </w:r>
      <w:r w:rsidR="007B2688" w:rsidRPr="00C0186C">
        <w:rPr>
          <w:rFonts w:ascii="Times New Roman" w:hAnsi="Times New Roman" w:cs="Times New Roman"/>
          <w:sz w:val="24"/>
          <w:szCs w:val="24"/>
        </w:rPr>
        <w:t xml:space="preserve">analize </w:t>
      </w:r>
      <w:r w:rsidR="00F56083" w:rsidRPr="00C0186C">
        <w:rPr>
          <w:rFonts w:ascii="Times New Roman" w:hAnsi="Times New Roman" w:cs="Times New Roman"/>
          <w:sz w:val="24"/>
          <w:szCs w:val="24"/>
        </w:rPr>
        <w:t xml:space="preserve">prosječnih kratkoročnih razvojnih kretanja </w:t>
      </w:r>
      <w:r w:rsidR="00BB3CD2" w:rsidRPr="00C0186C">
        <w:rPr>
          <w:rFonts w:ascii="Times New Roman" w:hAnsi="Times New Roman" w:cs="Times New Roman"/>
          <w:sz w:val="24"/>
          <w:szCs w:val="24"/>
        </w:rPr>
        <w:t>(</w:t>
      </w:r>
      <w:r w:rsidR="003F1FB7" w:rsidRPr="00C0186C">
        <w:rPr>
          <w:rFonts w:ascii="Times New Roman" w:hAnsi="Times New Roman" w:cs="Times New Roman"/>
          <w:sz w:val="24"/>
          <w:szCs w:val="24"/>
        </w:rPr>
        <w:t xml:space="preserve">od </w:t>
      </w:r>
      <w:r w:rsidR="00063641" w:rsidRPr="00C0186C">
        <w:rPr>
          <w:rFonts w:ascii="Times New Roman" w:hAnsi="Times New Roman" w:cs="Times New Roman"/>
          <w:sz w:val="24"/>
          <w:szCs w:val="24"/>
        </w:rPr>
        <w:t>2015.</w:t>
      </w:r>
      <w:r w:rsidR="003F1FB7" w:rsidRPr="00C0186C">
        <w:rPr>
          <w:rFonts w:ascii="Times New Roman" w:hAnsi="Times New Roman" w:cs="Times New Roman"/>
          <w:sz w:val="24"/>
          <w:szCs w:val="24"/>
        </w:rPr>
        <w:t xml:space="preserve"> do </w:t>
      </w:r>
      <w:r w:rsidR="00063641" w:rsidRPr="00C0186C">
        <w:rPr>
          <w:rFonts w:ascii="Times New Roman" w:hAnsi="Times New Roman" w:cs="Times New Roman"/>
          <w:sz w:val="24"/>
          <w:szCs w:val="24"/>
        </w:rPr>
        <w:t>2019.</w:t>
      </w:r>
      <w:r w:rsidR="003F1FB7" w:rsidRPr="00C0186C">
        <w:rPr>
          <w:rFonts w:ascii="Times New Roman" w:hAnsi="Times New Roman" w:cs="Times New Roman"/>
          <w:sz w:val="24"/>
          <w:szCs w:val="24"/>
        </w:rPr>
        <w:t xml:space="preserve"> godine</w:t>
      </w:r>
      <w:r w:rsidR="00BB3CD2" w:rsidRPr="00C0186C">
        <w:rPr>
          <w:rFonts w:ascii="Times New Roman" w:hAnsi="Times New Roman" w:cs="Times New Roman"/>
          <w:sz w:val="24"/>
          <w:szCs w:val="24"/>
        </w:rPr>
        <w:t xml:space="preserve">) </w:t>
      </w:r>
      <w:r w:rsidR="007038CF" w:rsidRPr="00C0186C">
        <w:rPr>
          <w:rFonts w:ascii="Times New Roman" w:hAnsi="Times New Roman" w:cs="Times New Roman"/>
          <w:sz w:val="24"/>
          <w:szCs w:val="24"/>
        </w:rPr>
        <w:t>jedinica lokalne samouprave</w:t>
      </w:r>
      <w:r w:rsidR="00F56083" w:rsidRPr="00C0186C">
        <w:rPr>
          <w:rFonts w:ascii="Times New Roman" w:hAnsi="Times New Roman" w:cs="Times New Roman"/>
          <w:sz w:val="24"/>
          <w:szCs w:val="24"/>
        </w:rPr>
        <w:t xml:space="preserve"> </w:t>
      </w:r>
      <w:r w:rsidR="007038CF" w:rsidRPr="00C0186C">
        <w:rPr>
          <w:rFonts w:ascii="Times New Roman" w:hAnsi="Times New Roman" w:cs="Times New Roman"/>
          <w:sz w:val="24"/>
          <w:szCs w:val="24"/>
        </w:rPr>
        <w:t>razvrstanih</w:t>
      </w:r>
      <w:r w:rsidR="00F56083" w:rsidRPr="00C0186C">
        <w:rPr>
          <w:rFonts w:ascii="Times New Roman" w:hAnsi="Times New Roman" w:cs="Times New Roman"/>
          <w:sz w:val="24"/>
          <w:szCs w:val="24"/>
        </w:rPr>
        <w:t xml:space="preserve"> u PP sukladno </w:t>
      </w:r>
      <w:r w:rsidR="00BB3CD2" w:rsidRPr="00C0186C">
        <w:rPr>
          <w:rFonts w:ascii="Times New Roman" w:hAnsi="Times New Roman" w:cs="Times New Roman"/>
          <w:sz w:val="24"/>
          <w:szCs w:val="24"/>
        </w:rPr>
        <w:t>novom indeksu razvijenosti;</w:t>
      </w:r>
    </w:p>
    <w:p w14:paraId="4F1A2564" w14:textId="1E87911E" w:rsidR="007B2688" w:rsidRDefault="007B2688" w:rsidP="00B70EE8">
      <w:pPr>
        <w:numPr>
          <w:ilvl w:val="0"/>
          <w:numId w:val="4"/>
        </w:numPr>
        <w:spacing w:before="0" w:after="0"/>
        <w:jc w:val="both"/>
        <w:rPr>
          <w:rFonts w:ascii="Times New Roman" w:hAnsi="Times New Roman" w:cs="Times New Roman"/>
          <w:sz w:val="24"/>
          <w:szCs w:val="24"/>
        </w:rPr>
      </w:pPr>
      <w:r w:rsidRPr="00C0186C">
        <w:rPr>
          <w:rFonts w:ascii="Times New Roman" w:hAnsi="Times New Roman" w:cs="Times New Roman"/>
          <w:sz w:val="24"/>
          <w:szCs w:val="24"/>
        </w:rPr>
        <w:t>Prijedlozi</w:t>
      </w:r>
      <w:r w:rsidR="00474737" w:rsidRPr="00C0186C">
        <w:rPr>
          <w:rFonts w:ascii="Times New Roman" w:hAnsi="Times New Roman" w:cs="Times New Roman"/>
          <w:sz w:val="24"/>
          <w:szCs w:val="24"/>
        </w:rPr>
        <w:t xml:space="preserve"> i zaključci članova</w:t>
      </w:r>
      <w:r w:rsidRPr="00C0186C">
        <w:rPr>
          <w:rFonts w:ascii="Times New Roman" w:hAnsi="Times New Roman" w:cs="Times New Roman"/>
          <w:sz w:val="24"/>
          <w:szCs w:val="24"/>
        </w:rPr>
        <w:t xml:space="preserve"> Radne skupine zadužene za izradu Programa.</w:t>
      </w:r>
      <w:r w:rsidR="00BB3CD2" w:rsidRPr="00C0186C">
        <w:rPr>
          <w:rFonts w:ascii="Times New Roman" w:hAnsi="Times New Roman" w:cs="Times New Roman"/>
          <w:sz w:val="24"/>
          <w:szCs w:val="24"/>
        </w:rPr>
        <w:t xml:space="preserve"> </w:t>
      </w:r>
    </w:p>
    <w:p w14:paraId="51D6EA50" w14:textId="77777777" w:rsidR="00567391" w:rsidRPr="00C0186C" w:rsidRDefault="00567391" w:rsidP="00567391">
      <w:pPr>
        <w:spacing w:before="0" w:after="0"/>
        <w:ind w:left="1440"/>
        <w:jc w:val="both"/>
        <w:rPr>
          <w:rFonts w:ascii="Times New Roman" w:hAnsi="Times New Roman" w:cs="Times New Roman"/>
          <w:sz w:val="24"/>
          <w:szCs w:val="24"/>
        </w:rPr>
      </w:pPr>
    </w:p>
    <w:p w14:paraId="1A9B04FC" w14:textId="59C1CD54" w:rsidR="007B2688" w:rsidRPr="00C0186C" w:rsidRDefault="009E67CC"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 xml:space="preserve">Komponente zakonodavnog, strateškog i institucionalnog okvira posebno su važne za definiranje ciljeva Programa, kao i oblikovanje mjera i aktivnosti za njegovu provedbu. </w:t>
      </w:r>
      <w:r w:rsidR="007B2688" w:rsidRPr="00C0186C">
        <w:rPr>
          <w:rFonts w:ascii="Times New Roman" w:hAnsi="Times New Roman" w:cs="Times New Roman"/>
          <w:sz w:val="24"/>
          <w:szCs w:val="24"/>
        </w:rPr>
        <w:t xml:space="preserve">Osnovne </w:t>
      </w:r>
      <w:r w:rsidR="009270C3" w:rsidRPr="00C0186C">
        <w:rPr>
          <w:rFonts w:ascii="Times New Roman" w:hAnsi="Times New Roman" w:cs="Times New Roman"/>
          <w:sz w:val="24"/>
          <w:szCs w:val="24"/>
        </w:rPr>
        <w:t xml:space="preserve">odrednice </w:t>
      </w:r>
      <w:r w:rsidR="007B2688" w:rsidRPr="00C0186C">
        <w:rPr>
          <w:rFonts w:ascii="Times New Roman" w:hAnsi="Times New Roman" w:cs="Times New Roman"/>
          <w:sz w:val="24"/>
          <w:szCs w:val="24"/>
        </w:rPr>
        <w:t xml:space="preserve">zakonodavnog, strateškog i </w:t>
      </w:r>
      <w:r w:rsidR="009270C3" w:rsidRPr="00C0186C">
        <w:rPr>
          <w:rFonts w:ascii="Times New Roman" w:hAnsi="Times New Roman" w:cs="Times New Roman"/>
          <w:sz w:val="24"/>
          <w:szCs w:val="24"/>
        </w:rPr>
        <w:t>institucionalnog okvira iz kojih</w:t>
      </w:r>
      <w:r w:rsidRPr="00C0186C">
        <w:rPr>
          <w:rFonts w:ascii="Times New Roman" w:hAnsi="Times New Roman" w:cs="Times New Roman"/>
          <w:sz w:val="24"/>
          <w:szCs w:val="24"/>
        </w:rPr>
        <w:t xml:space="preserve"> proizlaze obveze</w:t>
      </w:r>
      <w:r w:rsidR="009270C3" w:rsidRPr="00C0186C">
        <w:rPr>
          <w:rFonts w:ascii="Times New Roman" w:hAnsi="Times New Roman" w:cs="Times New Roman"/>
          <w:sz w:val="24"/>
          <w:szCs w:val="24"/>
        </w:rPr>
        <w:t xml:space="preserve">, </w:t>
      </w:r>
      <w:r w:rsidR="007B2688" w:rsidRPr="00C0186C">
        <w:rPr>
          <w:rFonts w:ascii="Times New Roman" w:hAnsi="Times New Roman" w:cs="Times New Roman"/>
          <w:sz w:val="24"/>
          <w:szCs w:val="24"/>
        </w:rPr>
        <w:t>struktura izrade</w:t>
      </w:r>
      <w:r w:rsidR="009270C3" w:rsidRPr="00C0186C">
        <w:rPr>
          <w:rFonts w:ascii="Times New Roman" w:hAnsi="Times New Roman" w:cs="Times New Roman"/>
          <w:sz w:val="24"/>
          <w:szCs w:val="24"/>
        </w:rPr>
        <w:t xml:space="preserve"> i područje djelovanja</w:t>
      </w:r>
      <w:r w:rsidR="007B2688" w:rsidRPr="00C0186C">
        <w:rPr>
          <w:rFonts w:ascii="Times New Roman" w:hAnsi="Times New Roman" w:cs="Times New Roman"/>
          <w:sz w:val="24"/>
          <w:szCs w:val="24"/>
        </w:rPr>
        <w:t xml:space="preserve"> </w:t>
      </w:r>
      <w:r w:rsidR="009270C3" w:rsidRPr="00C0186C">
        <w:rPr>
          <w:rFonts w:ascii="Times New Roman" w:hAnsi="Times New Roman" w:cs="Times New Roman"/>
          <w:sz w:val="24"/>
          <w:szCs w:val="24"/>
        </w:rPr>
        <w:t>Programa</w:t>
      </w:r>
      <w:r w:rsidR="007B2688" w:rsidRPr="00C0186C">
        <w:rPr>
          <w:rFonts w:ascii="Times New Roman" w:hAnsi="Times New Roman" w:cs="Times New Roman"/>
          <w:sz w:val="24"/>
          <w:szCs w:val="24"/>
        </w:rPr>
        <w:t xml:space="preserve"> detaljno su opisane u drugom poglavlju</w:t>
      </w:r>
      <w:r w:rsidR="009270C3" w:rsidRPr="00C0186C">
        <w:rPr>
          <w:rFonts w:ascii="Times New Roman" w:hAnsi="Times New Roman" w:cs="Times New Roman"/>
          <w:sz w:val="24"/>
          <w:szCs w:val="24"/>
        </w:rPr>
        <w:t>.</w:t>
      </w:r>
      <w:r w:rsidR="007B2688" w:rsidRPr="00C0186C">
        <w:rPr>
          <w:rFonts w:ascii="Times New Roman" w:hAnsi="Times New Roman" w:cs="Times New Roman"/>
          <w:sz w:val="24"/>
          <w:szCs w:val="24"/>
        </w:rPr>
        <w:t xml:space="preserve"> Uz v</w:t>
      </w:r>
      <w:r w:rsidR="009270C3" w:rsidRPr="00C0186C">
        <w:rPr>
          <w:rFonts w:ascii="Times New Roman" w:hAnsi="Times New Roman" w:cs="Times New Roman"/>
          <w:sz w:val="24"/>
          <w:szCs w:val="24"/>
        </w:rPr>
        <w:t>eć prethodno navedene ključne zakone (</w:t>
      </w:r>
      <w:r w:rsidR="007B2688" w:rsidRPr="00C0186C">
        <w:rPr>
          <w:rFonts w:ascii="Times New Roman" w:hAnsi="Times New Roman" w:cs="Times New Roman"/>
          <w:sz w:val="24"/>
          <w:szCs w:val="24"/>
        </w:rPr>
        <w:t xml:space="preserve">Zakon o </w:t>
      </w:r>
      <w:r w:rsidR="00377F96" w:rsidRPr="00C0186C">
        <w:rPr>
          <w:rFonts w:ascii="Times New Roman" w:hAnsi="Times New Roman" w:cs="Times New Roman"/>
          <w:sz w:val="24"/>
          <w:szCs w:val="24"/>
        </w:rPr>
        <w:t>potpomognutim područjima</w:t>
      </w:r>
      <w:r w:rsidR="009270C3" w:rsidRPr="00C0186C">
        <w:rPr>
          <w:rFonts w:ascii="Times New Roman" w:hAnsi="Times New Roman" w:cs="Times New Roman"/>
          <w:sz w:val="24"/>
          <w:szCs w:val="24"/>
        </w:rPr>
        <w:t xml:space="preserve"> </w:t>
      </w:r>
      <w:r w:rsidR="003F2A07" w:rsidRPr="00C0186C">
        <w:rPr>
          <w:rFonts w:ascii="Times New Roman" w:hAnsi="Times New Roman" w:cs="Times New Roman"/>
          <w:i/>
          <w:iCs/>
          <w:sz w:val="24"/>
          <w:szCs w:val="24"/>
        </w:rPr>
        <w:t>(„Narodne novine“, br</w:t>
      </w:r>
      <w:r w:rsidR="006F2AD7">
        <w:rPr>
          <w:rFonts w:ascii="Times New Roman" w:hAnsi="Times New Roman" w:cs="Times New Roman"/>
          <w:i/>
          <w:iCs/>
          <w:sz w:val="24"/>
          <w:szCs w:val="24"/>
        </w:rPr>
        <w:t>oj</w:t>
      </w:r>
      <w:r w:rsidR="003F2A07" w:rsidRPr="00C0186C">
        <w:rPr>
          <w:rFonts w:ascii="Times New Roman" w:hAnsi="Times New Roman" w:cs="Times New Roman"/>
          <w:i/>
          <w:iCs/>
          <w:sz w:val="24"/>
          <w:szCs w:val="24"/>
        </w:rPr>
        <w:t xml:space="preserve"> </w:t>
      </w:r>
      <w:r w:rsidR="009270C3" w:rsidRPr="00C0186C">
        <w:rPr>
          <w:rFonts w:ascii="Times New Roman" w:hAnsi="Times New Roman" w:cs="Times New Roman"/>
          <w:i/>
          <w:iCs/>
          <w:sz w:val="24"/>
          <w:szCs w:val="24"/>
        </w:rPr>
        <w:t>118/18</w:t>
      </w:r>
      <w:r w:rsidR="00377F96" w:rsidRPr="00C0186C">
        <w:rPr>
          <w:rFonts w:ascii="Times New Roman" w:hAnsi="Times New Roman" w:cs="Times New Roman"/>
          <w:i/>
          <w:iCs/>
          <w:sz w:val="24"/>
          <w:szCs w:val="24"/>
        </w:rPr>
        <w:t>)</w:t>
      </w:r>
      <w:r w:rsidR="00377F96" w:rsidRPr="00C0186C">
        <w:rPr>
          <w:rFonts w:ascii="Times New Roman" w:hAnsi="Times New Roman" w:cs="Times New Roman"/>
          <w:sz w:val="24"/>
          <w:szCs w:val="24"/>
        </w:rPr>
        <w:t xml:space="preserve"> </w:t>
      </w:r>
      <w:r w:rsidR="007B2688" w:rsidRPr="00C0186C">
        <w:rPr>
          <w:rFonts w:ascii="Times New Roman" w:hAnsi="Times New Roman" w:cs="Times New Roman"/>
          <w:sz w:val="24"/>
          <w:szCs w:val="24"/>
        </w:rPr>
        <w:t>i  Zakon o regionalnom razvoju Republike Hrvatske</w:t>
      </w:r>
      <w:r w:rsidR="002B0BD5" w:rsidRPr="00C0186C">
        <w:rPr>
          <w:rFonts w:ascii="Times New Roman" w:hAnsi="Times New Roman" w:cs="Times New Roman"/>
          <w:sz w:val="24"/>
          <w:szCs w:val="24"/>
        </w:rPr>
        <w:t xml:space="preserve"> </w:t>
      </w:r>
      <w:r w:rsidR="003F2A07" w:rsidRPr="00C0186C">
        <w:rPr>
          <w:rFonts w:ascii="Times New Roman" w:hAnsi="Times New Roman" w:cs="Times New Roman"/>
          <w:i/>
          <w:iCs/>
          <w:sz w:val="24"/>
          <w:szCs w:val="24"/>
        </w:rPr>
        <w:t>(„Narodne novine“, br</w:t>
      </w:r>
      <w:r w:rsidR="006F2AD7">
        <w:rPr>
          <w:rFonts w:ascii="Times New Roman" w:hAnsi="Times New Roman" w:cs="Times New Roman"/>
          <w:i/>
          <w:iCs/>
          <w:sz w:val="24"/>
          <w:szCs w:val="24"/>
        </w:rPr>
        <w:t>oj</w:t>
      </w:r>
      <w:r w:rsidR="003F2A07" w:rsidRPr="00C0186C">
        <w:rPr>
          <w:rFonts w:ascii="Times New Roman" w:hAnsi="Times New Roman" w:cs="Times New Roman"/>
          <w:i/>
          <w:iCs/>
          <w:sz w:val="24"/>
          <w:szCs w:val="24"/>
        </w:rPr>
        <w:t xml:space="preserve"> </w:t>
      </w:r>
      <w:r w:rsidR="002B0BD5" w:rsidRPr="00C0186C">
        <w:rPr>
          <w:rFonts w:ascii="Times New Roman" w:hAnsi="Times New Roman" w:cs="Times New Roman"/>
          <w:i/>
          <w:iCs/>
          <w:sz w:val="24"/>
          <w:szCs w:val="24"/>
        </w:rPr>
        <w:t>147/14, 123/17, 118/18</w:t>
      </w:r>
      <w:r w:rsidR="00C47C0B" w:rsidRPr="00C0186C">
        <w:rPr>
          <w:rFonts w:ascii="Times New Roman" w:hAnsi="Times New Roman" w:cs="Times New Roman"/>
          <w:i/>
          <w:iCs/>
          <w:sz w:val="24"/>
          <w:szCs w:val="24"/>
        </w:rPr>
        <w:t>)</w:t>
      </w:r>
      <w:r w:rsidR="009270C3" w:rsidRPr="00C0186C">
        <w:rPr>
          <w:rFonts w:ascii="Times New Roman" w:hAnsi="Times New Roman" w:cs="Times New Roman"/>
          <w:sz w:val="24"/>
          <w:szCs w:val="24"/>
        </w:rPr>
        <w:t xml:space="preserve"> i strateške akte</w:t>
      </w:r>
      <w:r w:rsidR="00C47C0B" w:rsidRPr="00C0186C">
        <w:rPr>
          <w:rFonts w:ascii="Times New Roman" w:hAnsi="Times New Roman" w:cs="Times New Roman"/>
          <w:sz w:val="24"/>
          <w:szCs w:val="24"/>
        </w:rPr>
        <w:t xml:space="preserve"> (</w:t>
      </w:r>
      <w:r w:rsidR="002B0BD5" w:rsidRPr="00C0186C">
        <w:rPr>
          <w:rFonts w:ascii="Times New Roman" w:hAnsi="Times New Roman" w:cs="Times New Roman"/>
          <w:sz w:val="24"/>
          <w:szCs w:val="24"/>
        </w:rPr>
        <w:t>Nacionalna razvojna strategija Republike Hrvatske do 2030</w:t>
      </w:r>
      <w:r w:rsidR="00A75188" w:rsidRPr="00C0186C">
        <w:rPr>
          <w:rFonts w:ascii="Times New Roman" w:hAnsi="Times New Roman" w:cs="Times New Roman"/>
          <w:sz w:val="24"/>
          <w:szCs w:val="24"/>
        </w:rPr>
        <w:t>.</w:t>
      </w:r>
      <w:r w:rsidR="00C47C0B" w:rsidRPr="00C0186C">
        <w:rPr>
          <w:rFonts w:ascii="Times New Roman" w:hAnsi="Times New Roman" w:cs="Times New Roman"/>
          <w:sz w:val="24"/>
          <w:szCs w:val="24"/>
        </w:rPr>
        <w:t>godine</w:t>
      </w:r>
      <w:r w:rsidR="00A75188" w:rsidRPr="00C0186C">
        <w:rPr>
          <w:rFonts w:ascii="Times New Roman" w:hAnsi="Times New Roman" w:cs="Times New Roman"/>
          <w:sz w:val="24"/>
          <w:szCs w:val="24"/>
        </w:rPr>
        <w:t xml:space="preserve">, Program Vlade RH </w:t>
      </w:r>
      <w:r w:rsidR="002B0BD5" w:rsidRPr="00C0186C">
        <w:rPr>
          <w:rFonts w:ascii="Times New Roman" w:hAnsi="Times New Roman" w:cs="Times New Roman"/>
          <w:sz w:val="24"/>
          <w:szCs w:val="24"/>
        </w:rPr>
        <w:t xml:space="preserve">2020.-2024. i Provedbeni program MRRFEU </w:t>
      </w:r>
      <w:r w:rsidR="00FB1787" w:rsidRPr="00C0186C">
        <w:rPr>
          <w:rFonts w:ascii="Times New Roman" w:hAnsi="Times New Roman" w:cs="Times New Roman"/>
          <w:sz w:val="24"/>
          <w:szCs w:val="24"/>
        </w:rPr>
        <w:t>za razdoblje od 202</w:t>
      </w:r>
      <w:r w:rsidR="00D97CE5" w:rsidRPr="00C0186C">
        <w:rPr>
          <w:rFonts w:ascii="Times New Roman" w:hAnsi="Times New Roman" w:cs="Times New Roman"/>
          <w:sz w:val="24"/>
          <w:szCs w:val="24"/>
        </w:rPr>
        <w:t>1</w:t>
      </w:r>
      <w:r w:rsidR="00FB1787" w:rsidRPr="00C0186C">
        <w:rPr>
          <w:rFonts w:ascii="Times New Roman" w:hAnsi="Times New Roman" w:cs="Times New Roman"/>
          <w:sz w:val="24"/>
          <w:szCs w:val="24"/>
        </w:rPr>
        <w:t>.</w:t>
      </w:r>
      <w:r w:rsidR="00C47C0B" w:rsidRPr="00C0186C">
        <w:rPr>
          <w:rFonts w:ascii="Times New Roman" w:hAnsi="Times New Roman" w:cs="Times New Roman"/>
          <w:sz w:val="24"/>
          <w:szCs w:val="24"/>
        </w:rPr>
        <w:t xml:space="preserve"> </w:t>
      </w:r>
      <w:r w:rsidR="00FB1787" w:rsidRPr="00C0186C">
        <w:rPr>
          <w:rFonts w:ascii="Times New Roman" w:hAnsi="Times New Roman" w:cs="Times New Roman"/>
          <w:sz w:val="24"/>
          <w:szCs w:val="24"/>
        </w:rPr>
        <w:t xml:space="preserve">do </w:t>
      </w:r>
      <w:r w:rsidR="002B0BD5" w:rsidRPr="00C0186C">
        <w:rPr>
          <w:rFonts w:ascii="Times New Roman" w:hAnsi="Times New Roman" w:cs="Times New Roman"/>
          <w:sz w:val="24"/>
          <w:szCs w:val="24"/>
        </w:rPr>
        <w:t>2024.</w:t>
      </w:r>
      <w:r w:rsidR="00C47C0B" w:rsidRPr="00C0186C">
        <w:rPr>
          <w:rFonts w:ascii="Times New Roman" w:hAnsi="Times New Roman" w:cs="Times New Roman"/>
          <w:sz w:val="24"/>
          <w:szCs w:val="24"/>
        </w:rPr>
        <w:t xml:space="preserve"> godine</w:t>
      </w:r>
      <w:r w:rsidR="009270C3" w:rsidRPr="00C0186C">
        <w:rPr>
          <w:rFonts w:ascii="Times New Roman" w:hAnsi="Times New Roman" w:cs="Times New Roman"/>
          <w:sz w:val="24"/>
          <w:szCs w:val="24"/>
        </w:rPr>
        <w:t>) koji su relevantni za izradu ovog Programa</w:t>
      </w:r>
      <w:r w:rsidRPr="00C0186C">
        <w:rPr>
          <w:rFonts w:ascii="Times New Roman" w:hAnsi="Times New Roman" w:cs="Times New Roman"/>
          <w:sz w:val="24"/>
          <w:szCs w:val="24"/>
        </w:rPr>
        <w:t xml:space="preserve">, potrebno je u tom kontekstu posebno istaknuti </w:t>
      </w:r>
      <w:r w:rsidR="007B2688" w:rsidRPr="00C0186C">
        <w:rPr>
          <w:rFonts w:ascii="Times New Roman" w:hAnsi="Times New Roman" w:cs="Times New Roman"/>
          <w:sz w:val="24"/>
          <w:szCs w:val="24"/>
        </w:rPr>
        <w:t>i Zakon o sustavu strateškog planiranja i upravljanja razvojem Republike Hr</w:t>
      </w:r>
      <w:r w:rsidR="00A75188" w:rsidRPr="00C0186C">
        <w:rPr>
          <w:rFonts w:ascii="Times New Roman" w:hAnsi="Times New Roman" w:cs="Times New Roman"/>
          <w:sz w:val="24"/>
          <w:szCs w:val="24"/>
        </w:rPr>
        <w:t xml:space="preserve">vatske </w:t>
      </w:r>
      <w:r w:rsidR="003F2A07" w:rsidRPr="00C0186C">
        <w:rPr>
          <w:rFonts w:ascii="Times New Roman" w:hAnsi="Times New Roman" w:cs="Times New Roman"/>
          <w:i/>
          <w:iCs/>
          <w:sz w:val="24"/>
          <w:szCs w:val="24"/>
        </w:rPr>
        <w:t>(„Narodne novine“, br</w:t>
      </w:r>
      <w:r w:rsidR="006F2AD7">
        <w:rPr>
          <w:rFonts w:ascii="Times New Roman" w:hAnsi="Times New Roman" w:cs="Times New Roman"/>
          <w:i/>
          <w:iCs/>
          <w:sz w:val="24"/>
          <w:szCs w:val="24"/>
        </w:rPr>
        <w:t>oj</w:t>
      </w:r>
      <w:r w:rsidR="003F2A07" w:rsidRPr="00C0186C">
        <w:rPr>
          <w:rFonts w:ascii="Times New Roman" w:hAnsi="Times New Roman" w:cs="Times New Roman"/>
          <w:i/>
          <w:iCs/>
          <w:sz w:val="24"/>
          <w:szCs w:val="24"/>
        </w:rPr>
        <w:t xml:space="preserve">. </w:t>
      </w:r>
      <w:r w:rsidR="00A75188" w:rsidRPr="00C0186C">
        <w:rPr>
          <w:rFonts w:ascii="Times New Roman" w:hAnsi="Times New Roman" w:cs="Times New Roman"/>
          <w:i/>
          <w:iCs/>
          <w:sz w:val="24"/>
          <w:szCs w:val="24"/>
        </w:rPr>
        <w:t>123/17</w:t>
      </w:r>
      <w:r w:rsidR="001535DF" w:rsidRPr="00C0186C">
        <w:rPr>
          <w:rFonts w:ascii="Times New Roman" w:hAnsi="Times New Roman" w:cs="Times New Roman"/>
          <w:i/>
          <w:iCs/>
          <w:sz w:val="24"/>
          <w:szCs w:val="24"/>
        </w:rPr>
        <w:t>).</w:t>
      </w:r>
      <w:r w:rsidR="00A75188" w:rsidRPr="00C0186C">
        <w:rPr>
          <w:rFonts w:ascii="Times New Roman" w:hAnsi="Times New Roman" w:cs="Times New Roman"/>
          <w:sz w:val="24"/>
          <w:szCs w:val="24"/>
        </w:rPr>
        <w:t xml:space="preserve"> Tim je Zakonom </w:t>
      </w:r>
      <w:r w:rsidR="009270C3" w:rsidRPr="00C0186C">
        <w:rPr>
          <w:rFonts w:ascii="Times New Roman" w:hAnsi="Times New Roman" w:cs="Times New Roman"/>
          <w:sz w:val="24"/>
          <w:szCs w:val="24"/>
        </w:rPr>
        <w:t>definiran</w:t>
      </w:r>
      <w:r w:rsidR="007B2688" w:rsidRPr="00C0186C">
        <w:rPr>
          <w:rFonts w:ascii="Times New Roman" w:hAnsi="Times New Roman" w:cs="Times New Roman"/>
          <w:sz w:val="24"/>
          <w:szCs w:val="24"/>
        </w:rPr>
        <w:t xml:space="preserve"> hijerarhijski sustav pojedinih strateških akata s obzirom na vremensku dimenziju, odnosno </w:t>
      </w:r>
      <w:r w:rsidR="009270C3" w:rsidRPr="00C0186C">
        <w:rPr>
          <w:rFonts w:ascii="Times New Roman" w:hAnsi="Times New Roman" w:cs="Times New Roman"/>
          <w:sz w:val="24"/>
          <w:szCs w:val="24"/>
        </w:rPr>
        <w:t>programsko razdoblje za koje</w:t>
      </w:r>
      <w:r w:rsidR="007B2688" w:rsidRPr="00C0186C">
        <w:rPr>
          <w:rFonts w:ascii="Times New Roman" w:hAnsi="Times New Roman" w:cs="Times New Roman"/>
          <w:sz w:val="24"/>
          <w:szCs w:val="24"/>
        </w:rPr>
        <w:t xml:space="preserve"> se </w:t>
      </w:r>
      <w:r w:rsidR="009270C3" w:rsidRPr="00C0186C">
        <w:rPr>
          <w:rFonts w:ascii="Times New Roman" w:hAnsi="Times New Roman" w:cs="Times New Roman"/>
          <w:sz w:val="24"/>
          <w:szCs w:val="24"/>
        </w:rPr>
        <w:t xml:space="preserve">oni </w:t>
      </w:r>
      <w:r w:rsidR="007B2688" w:rsidRPr="00C0186C">
        <w:rPr>
          <w:rFonts w:ascii="Times New Roman" w:hAnsi="Times New Roman" w:cs="Times New Roman"/>
          <w:sz w:val="24"/>
          <w:szCs w:val="24"/>
        </w:rPr>
        <w:t xml:space="preserve">izrađuju, donose i provode, kao i </w:t>
      </w:r>
      <w:r w:rsidR="009270C3" w:rsidRPr="00C0186C">
        <w:rPr>
          <w:rFonts w:ascii="Times New Roman" w:hAnsi="Times New Roman" w:cs="Times New Roman"/>
          <w:sz w:val="24"/>
          <w:szCs w:val="24"/>
        </w:rPr>
        <w:t xml:space="preserve">njihov </w:t>
      </w:r>
      <w:r w:rsidR="007B2688" w:rsidRPr="00C0186C">
        <w:rPr>
          <w:rFonts w:ascii="Times New Roman" w:hAnsi="Times New Roman" w:cs="Times New Roman"/>
          <w:sz w:val="24"/>
          <w:szCs w:val="24"/>
        </w:rPr>
        <w:t xml:space="preserve">položaj u odnosu na druge strateške </w:t>
      </w:r>
      <w:r w:rsidRPr="00C0186C">
        <w:rPr>
          <w:rFonts w:ascii="Times New Roman" w:hAnsi="Times New Roman" w:cs="Times New Roman"/>
          <w:sz w:val="24"/>
          <w:szCs w:val="24"/>
        </w:rPr>
        <w:t>akte više i niže razine</w:t>
      </w:r>
      <w:r w:rsidR="007B2688" w:rsidRPr="00C0186C">
        <w:rPr>
          <w:rFonts w:ascii="Times New Roman" w:hAnsi="Times New Roman" w:cs="Times New Roman"/>
          <w:sz w:val="24"/>
          <w:szCs w:val="24"/>
        </w:rPr>
        <w:t xml:space="preserve">. Prema odredbama </w:t>
      </w:r>
      <w:r w:rsidRPr="00C0186C">
        <w:rPr>
          <w:rFonts w:ascii="Times New Roman" w:hAnsi="Times New Roman" w:cs="Times New Roman"/>
          <w:sz w:val="24"/>
          <w:szCs w:val="24"/>
        </w:rPr>
        <w:t>spomenutog</w:t>
      </w:r>
      <w:r w:rsidR="007B2688" w:rsidRPr="00C0186C">
        <w:rPr>
          <w:rFonts w:ascii="Times New Roman" w:hAnsi="Times New Roman" w:cs="Times New Roman"/>
          <w:sz w:val="24"/>
          <w:szCs w:val="24"/>
        </w:rPr>
        <w:t xml:space="preserve"> </w:t>
      </w:r>
      <w:r w:rsidR="00A75188" w:rsidRPr="00C0186C">
        <w:rPr>
          <w:rFonts w:ascii="Times New Roman" w:hAnsi="Times New Roman" w:cs="Times New Roman"/>
          <w:sz w:val="24"/>
          <w:szCs w:val="24"/>
        </w:rPr>
        <w:t>Z</w:t>
      </w:r>
      <w:r w:rsidR="007B2688" w:rsidRPr="00C0186C">
        <w:rPr>
          <w:rFonts w:ascii="Times New Roman" w:hAnsi="Times New Roman" w:cs="Times New Roman"/>
          <w:sz w:val="24"/>
          <w:szCs w:val="24"/>
        </w:rPr>
        <w:t xml:space="preserve">akona, </w:t>
      </w:r>
      <w:r w:rsidR="00A75188" w:rsidRPr="00C0186C">
        <w:rPr>
          <w:rFonts w:ascii="Times New Roman" w:hAnsi="Times New Roman" w:cs="Times New Roman"/>
          <w:sz w:val="24"/>
          <w:szCs w:val="24"/>
        </w:rPr>
        <w:t xml:space="preserve">ovaj je </w:t>
      </w:r>
      <w:r w:rsidR="007B2688" w:rsidRPr="00C0186C">
        <w:rPr>
          <w:rFonts w:ascii="Times New Roman" w:hAnsi="Times New Roman" w:cs="Times New Roman"/>
          <w:sz w:val="24"/>
          <w:szCs w:val="24"/>
        </w:rPr>
        <w:t>Program</w:t>
      </w:r>
      <w:r w:rsidR="00D0420F" w:rsidRPr="00C0186C">
        <w:rPr>
          <w:rFonts w:ascii="Times New Roman" w:hAnsi="Times New Roman" w:cs="Times New Roman"/>
          <w:sz w:val="24"/>
          <w:szCs w:val="24"/>
        </w:rPr>
        <w:t xml:space="preserve"> </w:t>
      </w:r>
      <w:r w:rsidR="007B2688" w:rsidRPr="00C0186C">
        <w:rPr>
          <w:rFonts w:ascii="Times New Roman" w:hAnsi="Times New Roman" w:cs="Times New Roman"/>
          <w:sz w:val="24"/>
          <w:szCs w:val="24"/>
        </w:rPr>
        <w:t xml:space="preserve">kratkoročni akt </w:t>
      </w:r>
      <w:r w:rsidRPr="00C0186C">
        <w:rPr>
          <w:rFonts w:ascii="Times New Roman" w:hAnsi="Times New Roman" w:cs="Times New Roman"/>
          <w:sz w:val="24"/>
          <w:szCs w:val="24"/>
        </w:rPr>
        <w:t xml:space="preserve">strateškog planiranja od nacionalnog značaja </w:t>
      </w:r>
      <w:r w:rsidR="007B2688" w:rsidRPr="00C0186C">
        <w:rPr>
          <w:rFonts w:ascii="Times New Roman" w:hAnsi="Times New Roman" w:cs="Times New Roman"/>
          <w:sz w:val="24"/>
          <w:szCs w:val="24"/>
        </w:rPr>
        <w:t>(donosi se</w:t>
      </w:r>
      <w:r w:rsidRPr="00C0186C">
        <w:rPr>
          <w:rFonts w:ascii="Times New Roman" w:hAnsi="Times New Roman" w:cs="Times New Roman"/>
          <w:sz w:val="24"/>
          <w:szCs w:val="24"/>
        </w:rPr>
        <w:t xml:space="preserve"> na razdoblje od 1 do 5 godina), stoga on</w:t>
      </w:r>
      <w:r w:rsidR="007B2688" w:rsidRPr="00C0186C">
        <w:rPr>
          <w:rFonts w:ascii="Times New Roman" w:hAnsi="Times New Roman" w:cs="Times New Roman"/>
          <w:sz w:val="24"/>
          <w:szCs w:val="24"/>
        </w:rPr>
        <w:t xml:space="preserve"> </w:t>
      </w:r>
      <w:r w:rsidRPr="00C0186C">
        <w:rPr>
          <w:rFonts w:ascii="Times New Roman" w:hAnsi="Times New Roman" w:cs="Times New Roman"/>
          <w:sz w:val="24"/>
          <w:szCs w:val="24"/>
        </w:rPr>
        <w:t>kao takav predstavlja</w:t>
      </w:r>
      <w:r w:rsidR="007B2688" w:rsidRPr="00C0186C">
        <w:rPr>
          <w:rFonts w:ascii="Times New Roman" w:hAnsi="Times New Roman" w:cs="Times New Roman"/>
          <w:sz w:val="24"/>
          <w:szCs w:val="24"/>
        </w:rPr>
        <w:t xml:space="preserve"> </w:t>
      </w:r>
      <w:r w:rsidR="003D4CCA" w:rsidRPr="00C0186C">
        <w:rPr>
          <w:rFonts w:ascii="Times New Roman" w:hAnsi="Times New Roman" w:cs="Times New Roman"/>
          <w:sz w:val="24"/>
          <w:szCs w:val="24"/>
        </w:rPr>
        <w:t>akt strateškog planiranja</w:t>
      </w:r>
      <w:r w:rsidR="00536312" w:rsidRPr="00C0186C">
        <w:rPr>
          <w:rFonts w:ascii="Times New Roman" w:hAnsi="Times New Roman" w:cs="Times New Roman"/>
          <w:sz w:val="24"/>
          <w:szCs w:val="24"/>
        </w:rPr>
        <w:t xml:space="preserve"> </w:t>
      </w:r>
      <w:r w:rsidR="007B2688" w:rsidRPr="00C0186C">
        <w:rPr>
          <w:rFonts w:ascii="Times New Roman" w:hAnsi="Times New Roman" w:cs="Times New Roman"/>
          <w:sz w:val="24"/>
          <w:szCs w:val="24"/>
        </w:rPr>
        <w:t>MRRFEU</w:t>
      </w:r>
      <w:r w:rsidRPr="00C0186C">
        <w:rPr>
          <w:rFonts w:ascii="Times New Roman" w:hAnsi="Times New Roman" w:cs="Times New Roman"/>
          <w:sz w:val="24"/>
          <w:szCs w:val="24"/>
        </w:rPr>
        <w:t xml:space="preserve"> kao nositelj</w:t>
      </w:r>
      <w:r w:rsidR="00521FAF" w:rsidRPr="00C0186C">
        <w:rPr>
          <w:rFonts w:ascii="Times New Roman" w:hAnsi="Times New Roman" w:cs="Times New Roman"/>
          <w:sz w:val="24"/>
          <w:szCs w:val="24"/>
        </w:rPr>
        <w:t xml:space="preserve">a regionalne politike i </w:t>
      </w:r>
      <w:r w:rsidR="006329CB" w:rsidRPr="00C0186C">
        <w:rPr>
          <w:rFonts w:ascii="Times New Roman" w:hAnsi="Times New Roman" w:cs="Times New Roman"/>
          <w:sz w:val="24"/>
          <w:szCs w:val="24"/>
        </w:rPr>
        <w:t xml:space="preserve">regionalnog </w:t>
      </w:r>
      <w:r w:rsidR="00521FAF" w:rsidRPr="00C0186C">
        <w:rPr>
          <w:rFonts w:ascii="Times New Roman" w:hAnsi="Times New Roman" w:cs="Times New Roman"/>
          <w:sz w:val="24"/>
          <w:szCs w:val="24"/>
        </w:rPr>
        <w:t>razvoja.</w:t>
      </w:r>
      <w:r w:rsidR="00567391">
        <w:rPr>
          <w:rFonts w:ascii="Times New Roman" w:hAnsi="Times New Roman" w:cs="Times New Roman"/>
          <w:sz w:val="24"/>
          <w:szCs w:val="24"/>
        </w:rPr>
        <w:t xml:space="preserve"> </w:t>
      </w:r>
      <w:r w:rsidR="007B2688" w:rsidRPr="00C0186C">
        <w:rPr>
          <w:rFonts w:ascii="Times New Roman" w:hAnsi="Times New Roman" w:cs="Times New Roman"/>
          <w:sz w:val="24"/>
          <w:szCs w:val="24"/>
        </w:rPr>
        <w:t>Definiranje ciljeva, mjera i aktivnost</w:t>
      </w:r>
      <w:r w:rsidR="00D43187" w:rsidRPr="00C0186C">
        <w:rPr>
          <w:rFonts w:ascii="Times New Roman" w:hAnsi="Times New Roman" w:cs="Times New Roman"/>
          <w:sz w:val="24"/>
          <w:szCs w:val="24"/>
        </w:rPr>
        <w:t>i Programa</w:t>
      </w:r>
      <w:r w:rsidR="00521FAF" w:rsidRPr="00C0186C">
        <w:rPr>
          <w:rFonts w:ascii="Times New Roman" w:hAnsi="Times New Roman" w:cs="Times New Roman"/>
          <w:sz w:val="24"/>
          <w:szCs w:val="24"/>
        </w:rPr>
        <w:t xml:space="preserve"> potrebno je također </w:t>
      </w:r>
      <w:r w:rsidR="007B2688" w:rsidRPr="00C0186C">
        <w:rPr>
          <w:rFonts w:ascii="Times New Roman" w:hAnsi="Times New Roman" w:cs="Times New Roman"/>
          <w:sz w:val="24"/>
          <w:szCs w:val="24"/>
        </w:rPr>
        <w:t xml:space="preserve">promišljati </w:t>
      </w:r>
      <w:r w:rsidR="00521FAF" w:rsidRPr="00C0186C">
        <w:rPr>
          <w:rFonts w:ascii="Times New Roman" w:hAnsi="Times New Roman" w:cs="Times New Roman"/>
          <w:sz w:val="24"/>
          <w:szCs w:val="24"/>
        </w:rPr>
        <w:t>i</w:t>
      </w:r>
      <w:r w:rsidR="007B2688" w:rsidRPr="00C0186C">
        <w:rPr>
          <w:rFonts w:ascii="Times New Roman" w:hAnsi="Times New Roman" w:cs="Times New Roman"/>
          <w:sz w:val="24"/>
          <w:szCs w:val="24"/>
        </w:rPr>
        <w:t xml:space="preserve"> temeljem </w:t>
      </w:r>
      <w:r w:rsidR="00D43187" w:rsidRPr="00C0186C">
        <w:rPr>
          <w:rFonts w:ascii="Times New Roman" w:hAnsi="Times New Roman" w:cs="Times New Roman"/>
          <w:sz w:val="24"/>
          <w:szCs w:val="24"/>
        </w:rPr>
        <w:t xml:space="preserve">dobivenih </w:t>
      </w:r>
      <w:r w:rsidR="00521FAF" w:rsidRPr="00C0186C">
        <w:rPr>
          <w:rFonts w:ascii="Times New Roman" w:hAnsi="Times New Roman" w:cs="Times New Roman"/>
          <w:sz w:val="24"/>
          <w:szCs w:val="24"/>
        </w:rPr>
        <w:t xml:space="preserve">rezultata i </w:t>
      </w:r>
      <w:r w:rsidR="007B2688" w:rsidRPr="00C0186C">
        <w:rPr>
          <w:rFonts w:ascii="Times New Roman" w:hAnsi="Times New Roman" w:cs="Times New Roman"/>
          <w:sz w:val="24"/>
          <w:szCs w:val="24"/>
        </w:rPr>
        <w:t>nalaza</w:t>
      </w:r>
      <w:r w:rsidR="00521FAF" w:rsidRPr="00C0186C">
        <w:rPr>
          <w:rFonts w:ascii="Times New Roman" w:hAnsi="Times New Roman" w:cs="Times New Roman"/>
          <w:sz w:val="24"/>
          <w:szCs w:val="24"/>
        </w:rPr>
        <w:t xml:space="preserve"> integrirane</w:t>
      </w:r>
      <w:r w:rsidR="007B2688" w:rsidRPr="00C0186C">
        <w:rPr>
          <w:rFonts w:ascii="Times New Roman" w:hAnsi="Times New Roman" w:cs="Times New Roman"/>
          <w:sz w:val="24"/>
          <w:szCs w:val="24"/>
        </w:rPr>
        <w:t xml:space="preserve"> </w:t>
      </w:r>
      <w:r w:rsidR="00521FAF" w:rsidRPr="00C0186C">
        <w:rPr>
          <w:rFonts w:ascii="Times New Roman" w:hAnsi="Times New Roman" w:cs="Times New Roman"/>
          <w:sz w:val="24"/>
          <w:szCs w:val="24"/>
        </w:rPr>
        <w:t>analize</w:t>
      </w:r>
      <w:r w:rsidR="007B2688" w:rsidRPr="00C0186C">
        <w:rPr>
          <w:rFonts w:ascii="Times New Roman" w:hAnsi="Times New Roman" w:cs="Times New Roman"/>
          <w:sz w:val="24"/>
          <w:szCs w:val="24"/>
        </w:rPr>
        <w:t xml:space="preserve"> dugoročnih </w:t>
      </w:r>
      <w:r w:rsidR="00521FAF" w:rsidRPr="00C0186C">
        <w:rPr>
          <w:rFonts w:ascii="Times New Roman" w:hAnsi="Times New Roman" w:cs="Times New Roman"/>
          <w:sz w:val="24"/>
          <w:szCs w:val="24"/>
        </w:rPr>
        <w:t xml:space="preserve">razvojnih </w:t>
      </w:r>
      <w:r w:rsidR="007B2688" w:rsidRPr="00C0186C">
        <w:rPr>
          <w:rFonts w:ascii="Times New Roman" w:hAnsi="Times New Roman" w:cs="Times New Roman"/>
          <w:sz w:val="24"/>
          <w:szCs w:val="24"/>
        </w:rPr>
        <w:t>obilježja P</w:t>
      </w:r>
      <w:r w:rsidR="00521FAF" w:rsidRPr="00C0186C">
        <w:rPr>
          <w:rFonts w:ascii="Times New Roman" w:hAnsi="Times New Roman" w:cs="Times New Roman"/>
          <w:sz w:val="24"/>
          <w:szCs w:val="24"/>
        </w:rPr>
        <w:t>P</w:t>
      </w:r>
      <w:r w:rsidR="008955BE" w:rsidRPr="00C0186C">
        <w:rPr>
          <w:rFonts w:ascii="Times New Roman" w:hAnsi="Times New Roman" w:cs="Times New Roman"/>
          <w:sz w:val="24"/>
          <w:szCs w:val="24"/>
        </w:rPr>
        <w:t>-a</w:t>
      </w:r>
      <w:r w:rsidR="00521FAF" w:rsidRPr="00C0186C">
        <w:rPr>
          <w:rFonts w:ascii="Times New Roman" w:hAnsi="Times New Roman" w:cs="Times New Roman"/>
          <w:sz w:val="24"/>
          <w:szCs w:val="24"/>
        </w:rPr>
        <w:t xml:space="preserve">, odnosno demografskih, </w:t>
      </w:r>
      <w:r w:rsidR="007B2688" w:rsidRPr="00C0186C">
        <w:rPr>
          <w:rFonts w:ascii="Times New Roman" w:hAnsi="Times New Roman" w:cs="Times New Roman"/>
          <w:sz w:val="24"/>
          <w:szCs w:val="24"/>
        </w:rPr>
        <w:t xml:space="preserve">ekonomskih, socijalnih i fiskalnih kretanja. Kao što je već </w:t>
      </w:r>
      <w:r w:rsidR="00521FAF" w:rsidRPr="00C0186C">
        <w:rPr>
          <w:rFonts w:ascii="Times New Roman" w:hAnsi="Times New Roman" w:cs="Times New Roman"/>
          <w:sz w:val="24"/>
          <w:szCs w:val="24"/>
        </w:rPr>
        <w:t xml:space="preserve">prethodno </w:t>
      </w:r>
      <w:r w:rsidR="007B2688" w:rsidRPr="00C0186C">
        <w:rPr>
          <w:rFonts w:ascii="Times New Roman" w:hAnsi="Times New Roman" w:cs="Times New Roman"/>
          <w:sz w:val="24"/>
          <w:szCs w:val="24"/>
        </w:rPr>
        <w:t>o</w:t>
      </w:r>
      <w:r w:rsidR="00377F96" w:rsidRPr="00C0186C">
        <w:rPr>
          <w:rFonts w:ascii="Times New Roman" w:hAnsi="Times New Roman" w:cs="Times New Roman"/>
          <w:sz w:val="24"/>
          <w:szCs w:val="24"/>
        </w:rPr>
        <w:t xml:space="preserve">bjašnjeno, dugoročna obilježja </w:t>
      </w:r>
      <w:r w:rsidR="007B2688" w:rsidRPr="00C0186C">
        <w:rPr>
          <w:rFonts w:ascii="Times New Roman" w:hAnsi="Times New Roman" w:cs="Times New Roman"/>
          <w:sz w:val="24"/>
          <w:szCs w:val="24"/>
        </w:rPr>
        <w:t>PP</w:t>
      </w:r>
      <w:r w:rsidR="008955BE" w:rsidRPr="00C0186C">
        <w:rPr>
          <w:rFonts w:ascii="Times New Roman" w:hAnsi="Times New Roman" w:cs="Times New Roman"/>
          <w:sz w:val="24"/>
          <w:szCs w:val="24"/>
        </w:rPr>
        <w:t>-a</w:t>
      </w:r>
      <w:r w:rsidR="007B2688" w:rsidRPr="00C0186C">
        <w:rPr>
          <w:rFonts w:ascii="Times New Roman" w:hAnsi="Times New Roman" w:cs="Times New Roman"/>
          <w:sz w:val="24"/>
          <w:szCs w:val="24"/>
        </w:rPr>
        <w:t xml:space="preserve"> analizirana su i argumentirana na osnovu </w:t>
      </w:r>
      <w:r w:rsidR="00377F96" w:rsidRPr="00C0186C">
        <w:rPr>
          <w:rFonts w:ascii="Times New Roman" w:hAnsi="Times New Roman" w:cs="Times New Roman"/>
          <w:sz w:val="24"/>
          <w:szCs w:val="24"/>
        </w:rPr>
        <w:t>stare metodologije izračuna indeksa razvijenosti</w:t>
      </w:r>
      <w:r w:rsidR="00521FAF" w:rsidRPr="00C0186C">
        <w:rPr>
          <w:rFonts w:ascii="Times New Roman" w:hAnsi="Times New Roman" w:cs="Times New Roman"/>
          <w:sz w:val="24"/>
          <w:szCs w:val="24"/>
        </w:rPr>
        <w:t xml:space="preserve"> i obuhvata </w:t>
      </w:r>
      <w:r w:rsidR="008955BE" w:rsidRPr="00C0186C">
        <w:rPr>
          <w:rFonts w:ascii="Times New Roman" w:hAnsi="Times New Roman" w:cs="Times New Roman"/>
          <w:sz w:val="24"/>
          <w:szCs w:val="24"/>
        </w:rPr>
        <w:t>potpomognutih područja</w:t>
      </w:r>
      <w:r w:rsidR="00521FAF" w:rsidRPr="00C0186C">
        <w:rPr>
          <w:rFonts w:ascii="Times New Roman" w:hAnsi="Times New Roman" w:cs="Times New Roman"/>
          <w:sz w:val="24"/>
          <w:szCs w:val="24"/>
        </w:rPr>
        <w:t xml:space="preserve"> koji su bili na snazi </w:t>
      </w:r>
      <w:r w:rsidR="00377F96" w:rsidRPr="00C0186C">
        <w:rPr>
          <w:rFonts w:ascii="Times New Roman" w:hAnsi="Times New Roman" w:cs="Times New Roman"/>
          <w:sz w:val="24"/>
          <w:szCs w:val="24"/>
        </w:rPr>
        <w:t>do 2018. godine.</w:t>
      </w:r>
      <w:r w:rsidR="00D43187" w:rsidRPr="00C0186C">
        <w:rPr>
          <w:rFonts w:ascii="Times New Roman" w:hAnsi="Times New Roman" w:cs="Times New Roman"/>
          <w:sz w:val="24"/>
          <w:szCs w:val="24"/>
        </w:rPr>
        <w:t xml:space="preserve"> S druge strane,</w:t>
      </w:r>
      <w:r w:rsidR="00521FAF" w:rsidRPr="00C0186C">
        <w:rPr>
          <w:rFonts w:ascii="Times New Roman" w:hAnsi="Times New Roman" w:cs="Times New Roman"/>
          <w:sz w:val="24"/>
          <w:szCs w:val="24"/>
        </w:rPr>
        <w:t xml:space="preserve"> </w:t>
      </w:r>
      <w:r w:rsidR="00D43187" w:rsidRPr="00C0186C">
        <w:rPr>
          <w:rFonts w:ascii="Times New Roman" w:hAnsi="Times New Roman" w:cs="Times New Roman"/>
          <w:sz w:val="24"/>
          <w:szCs w:val="24"/>
        </w:rPr>
        <w:t>i</w:t>
      </w:r>
      <w:r w:rsidR="007B2688" w:rsidRPr="00C0186C">
        <w:rPr>
          <w:rFonts w:ascii="Times New Roman" w:hAnsi="Times New Roman" w:cs="Times New Roman"/>
          <w:sz w:val="24"/>
          <w:szCs w:val="24"/>
        </w:rPr>
        <w:t>straživanje</w:t>
      </w:r>
      <w:r w:rsidR="00D43187" w:rsidRPr="00C0186C">
        <w:rPr>
          <w:rFonts w:ascii="Times New Roman" w:hAnsi="Times New Roman" w:cs="Times New Roman"/>
          <w:sz w:val="24"/>
          <w:szCs w:val="24"/>
        </w:rPr>
        <w:t>m</w:t>
      </w:r>
      <w:r w:rsidR="007B2688" w:rsidRPr="00C0186C">
        <w:rPr>
          <w:rFonts w:ascii="Times New Roman" w:hAnsi="Times New Roman" w:cs="Times New Roman"/>
          <w:sz w:val="24"/>
          <w:szCs w:val="24"/>
        </w:rPr>
        <w:t xml:space="preserve"> </w:t>
      </w:r>
      <w:r w:rsidR="00D43187" w:rsidRPr="00C0186C">
        <w:rPr>
          <w:rFonts w:ascii="Times New Roman" w:hAnsi="Times New Roman" w:cs="Times New Roman"/>
          <w:sz w:val="24"/>
          <w:szCs w:val="24"/>
        </w:rPr>
        <w:t xml:space="preserve">i analizom kratkoročnih </w:t>
      </w:r>
      <w:r w:rsidR="007B2688" w:rsidRPr="00C0186C">
        <w:rPr>
          <w:rFonts w:ascii="Times New Roman" w:hAnsi="Times New Roman" w:cs="Times New Roman"/>
          <w:sz w:val="24"/>
          <w:szCs w:val="24"/>
        </w:rPr>
        <w:t>konju</w:t>
      </w:r>
      <w:r w:rsidR="00521FAF" w:rsidRPr="00C0186C">
        <w:rPr>
          <w:rFonts w:ascii="Times New Roman" w:hAnsi="Times New Roman" w:cs="Times New Roman"/>
          <w:sz w:val="24"/>
          <w:szCs w:val="24"/>
        </w:rPr>
        <w:t>nkturnih</w:t>
      </w:r>
      <w:r w:rsidR="00377F96" w:rsidRPr="00C0186C">
        <w:rPr>
          <w:rFonts w:ascii="Times New Roman" w:hAnsi="Times New Roman" w:cs="Times New Roman"/>
          <w:sz w:val="24"/>
          <w:szCs w:val="24"/>
        </w:rPr>
        <w:t xml:space="preserve"> kretanja na </w:t>
      </w:r>
      <w:r w:rsidR="007B2688" w:rsidRPr="00C0186C">
        <w:rPr>
          <w:rFonts w:ascii="Times New Roman" w:hAnsi="Times New Roman" w:cs="Times New Roman"/>
          <w:sz w:val="24"/>
          <w:szCs w:val="24"/>
        </w:rPr>
        <w:t>PP</w:t>
      </w:r>
      <w:r w:rsidR="008955BE" w:rsidRPr="00C0186C">
        <w:rPr>
          <w:rFonts w:ascii="Times New Roman" w:hAnsi="Times New Roman" w:cs="Times New Roman"/>
          <w:sz w:val="24"/>
          <w:szCs w:val="24"/>
        </w:rPr>
        <w:t>-u</w:t>
      </w:r>
      <w:r w:rsidR="007B2688" w:rsidRPr="00C0186C">
        <w:rPr>
          <w:rFonts w:ascii="Times New Roman" w:hAnsi="Times New Roman" w:cs="Times New Roman"/>
          <w:sz w:val="24"/>
          <w:szCs w:val="24"/>
        </w:rPr>
        <w:t xml:space="preserve"> </w:t>
      </w:r>
      <w:r w:rsidR="00521FAF" w:rsidRPr="00C0186C">
        <w:rPr>
          <w:rFonts w:ascii="Times New Roman" w:hAnsi="Times New Roman" w:cs="Times New Roman"/>
          <w:sz w:val="24"/>
          <w:szCs w:val="24"/>
        </w:rPr>
        <w:t xml:space="preserve">koja su definirana i razvrstana u razvojne skupine </w:t>
      </w:r>
      <w:r w:rsidR="007B2688" w:rsidRPr="00C0186C">
        <w:rPr>
          <w:rFonts w:ascii="Times New Roman" w:hAnsi="Times New Roman" w:cs="Times New Roman"/>
          <w:sz w:val="24"/>
          <w:szCs w:val="24"/>
        </w:rPr>
        <w:t xml:space="preserve">prema </w:t>
      </w:r>
      <w:r w:rsidR="00377F96" w:rsidRPr="00C0186C">
        <w:rPr>
          <w:rFonts w:ascii="Times New Roman" w:hAnsi="Times New Roman" w:cs="Times New Roman"/>
          <w:sz w:val="24"/>
          <w:szCs w:val="24"/>
        </w:rPr>
        <w:t>novoj metodologiji</w:t>
      </w:r>
      <w:r w:rsidR="00D43187" w:rsidRPr="00C0186C">
        <w:rPr>
          <w:rFonts w:ascii="Times New Roman" w:hAnsi="Times New Roman" w:cs="Times New Roman"/>
          <w:sz w:val="24"/>
          <w:szCs w:val="24"/>
        </w:rPr>
        <w:t xml:space="preserve"> izračuna indeksa razvijenosti</w:t>
      </w:r>
      <w:r w:rsidR="007B2688" w:rsidRPr="00C0186C">
        <w:rPr>
          <w:rFonts w:ascii="Times New Roman" w:hAnsi="Times New Roman" w:cs="Times New Roman"/>
          <w:sz w:val="24"/>
          <w:szCs w:val="24"/>
        </w:rPr>
        <w:t>,</w:t>
      </w:r>
      <w:r w:rsidR="00D43187" w:rsidRPr="00C0186C">
        <w:rPr>
          <w:rFonts w:ascii="Times New Roman" w:hAnsi="Times New Roman" w:cs="Times New Roman"/>
          <w:sz w:val="24"/>
          <w:szCs w:val="24"/>
        </w:rPr>
        <w:t xml:space="preserve"> osim prosječnih demografskih, ekonomskih, </w:t>
      </w:r>
      <w:r w:rsidR="007B2688" w:rsidRPr="00C0186C">
        <w:rPr>
          <w:rFonts w:ascii="Times New Roman" w:hAnsi="Times New Roman" w:cs="Times New Roman"/>
          <w:sz w:val="24"/>
          <w:szCs w:val="24"/>
        </w:rPr>
        <w:t>fiskalnih i socijalnih</w:t>
      </w:r>
      <w:r w:rsidR="00D43187" w:rsidRPr="00C0186C">
        <w:rPr>
          <w:rFonts w:ascii="Times New Roman" w:hAnsi="Times New Roman" w:cs="Times New Roman"/>
          <w:sz w:val="24"/>
          <w:szCs w:val="24"/>
        </w:rPr>
        <w:t xml:space="preserve"> performansi </w:t>
      </w:r>
      <w:r w:rsidR="007038CF" w:rsidRPr="00C0186C">
        <w:rPr>
          <w:rFonts w:ascii="Times New Roman" w:hAnsi="Times New Roman" w:cs="Times New Roman"/>
          <w:sz w:val="24"/>
          <w:szCs w:val="24"/>
        </w:rPr>
        <w:t>jedinica lokalne samouprave</w:t>
      </w:r>
      <w:r w:rsidR="00D43187" w:rsidRPr="00C0186C">
        <w:rPr>
          <w:rFonts w:ascii="Times New Roman" w:hAnsi="Times New Roman" w:cs="Times New Roman"/>
          <w:sz w:val="24"/>
          <w:szCs w:val="24"/>
        </w:rPr>
        <w:t xml:space="preserve"> koje se nalaze u četiri ispodprosječne razvojne skupine, obuhvaćene su i prosječne performanse njihovih aktivnih poduzetničkih i obrtničkih kapaciteta. </w:t>
      </w:r>
      <w:r w:rsidR="00FD5DE1" w:rsidRPr="00C0186C">
        <w:rPr>
          <w:rFonts w:ascii="Times New Roman" w:hAnsi="Times New Roman" w:cs="Times New Roman"/>
          <w:sz w:val="24"/>
          <w:szCs w:val="24"/>
        </w:rPr>
        <w:t xml:space="preserve">Stoga spoznaje dobivene ovim analitičkim pristupom </w:t>
      </w:r>
      <w:r w:rsidR="00521FAF" w:rsidRPr="00C0186C">
        <w:rPr>
          <w:rFonts w:ascii="Times New Roman" w:hAnsi="Times New Roman" w:cs="Times New Roman"/>
          <w:sz w:val="24"/>
          <w:szCs w:val="24"/>
        </w:rPr>
        <w:t xml:space="preserve">također predstavljaju važno polazište za izradu Programa, odnosno definiranje i razradu </w:t>
      </w:r>
      <w:r w:rsidR="00D43187" w:rsidRPr="00C0186C">
        <w:rPr>
          <w:rFonts w:ascii="Times New Roman" w:hAnsi="Times New Roman" w:cs="Times New Roman"/>
          <w:sz w:val="24"/>
          <w:szCs w:val="24"/>
        </w:rPr>
        <w:t xml:space="preserve">učinkovitih </w:t>
      </w:r>
      <w:r w:rsidR="00521FAF" w:rsidRPr="00C0186C">
        <w:rPr>
          <w:rFonts w:ascii="Times New Roman" w:hAnsi="Times New Roman" w:cs="Times New Roman"/>
          <w:sz w:val="24"/>
          <w:szCs w:val="24"/>
        </w:rPr>
        <w:t>mjera i aktivnosti</w:t>
      </w:r>
      <w:r w:rsidR="00FD5DE1" w:rsidRPr="00C0186C">
        <w:rPr>
          <w:rFonts w:ascii="Times New Roman" w:hAnsi="Times New Roman" w:cs="Times New Roman"/>
          <w:sz w:val="24"/>
          <w:szCs w:val="24"/>
        </w:rPr>
        <w:t xml:space="preserve"> poticanja razvoja PP</w:t>
      </w:r>
      <w:r w:rsidR="008955BE" w:rsidRPr="00C0186C">
        <w:rPr>
          <w:rFonts w:ascii="Times New Roman" w:hAnsi="Times New Roman" w:cs="Times New Roman"/>
          <w:sz w:val="24"/>
          <w:szCs w:val="24"/>
        </w:rPr>
        <w:t>-a</w:t>
      </w:r>
      <w:r w:rsidR="00521FAF" w:rsidRPr="00C0186C">
        <w:rPr>
          <w:rFonts w:ascii="Times New Roman" w:hAnsi="Times New Roman" w:cs="Times New Roman"/>
          <w:sz w:val="24"/>
          <w:szCs w:val="24"/>
        </w:rPr>
        <w:t>.</w:t>
      </w:r>
    </w:p>
    <w:p w14:paraId="481AF4C3" w14:textId="77777777" w:rsidR="00F56083" w:rsidRPr="00C0186C" w:rsidRDefault="00F56083" w:rsidP="00B70EE8">
      <w:pPr>
        <w:spacing w:before="0" w:after="0"/>
        <w:jc w:val="both"/>
        <w:rPr>
          <w:rFonts w:ascii="Times New Roman" w:hAnsi="Times New Roman" w:cs="Times New Roman"/>
          <w:sz w:val="24"/>
          <w:szCs w:val="24"/>
        </w:rPr>
      </w:pPr>
    </w:p>
    <w:p w14:paraId="4D2CC60A" w14:textId="74CFA8D6" w:rsidR="00474737" w:rsidRPr="00C0186C" w:rsidRDefault="00474737"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Osim MRRFEU</w:t>
      </w:r>
      <w:r w:rsidR="008955BE" w:rsidRPr="00C0186C">
        <w:rPr>
          <w:rFonts w:ascii="Times New Roman" w:hAnsi="Times New Roman" w:cs="Times New Roman"/>
          <w:sz w:val="24"/>
          <w:szCs w:val="24"/>
        </w:rPr>
        <w:t>-a</w:t>
      </w:r>
      <w:r w:rsidRPr="00C0186C">
        <w:rPr>
          <w:rFonts w:ascii="Times New Roman" w:hAnsi="Times New Roman" w:cs="Times New Roman"/>
          <w:sz w:val="24"/>
          <w:szCs w:val="24"/>
        </w:rPr>
        <w:t xml:space="preserve">, u izradi Programa sudjelovali su predstavnici </w:t>
      </w:r>
      <w:r w:rsidR="007038CF" w:rsidRPr="00C0186C">
        <w:rPr>
          <w:rFonts w:ascii="Times New Roman" w:hAnsi="Times New Roman" w:cs="Times New Roman"/>
          <w:sz w:val="24"/>
          <w:szCs w:val="24"/>
        </w:rPr>
        <w:t>jedinica lokalne samouprave s</w:t>
      </w:r>
      <w:r w:rsidRPr="00C0186C">
        <w:rPr>
          <w:rFonts w:ascii="Times New Roman" w:hAnsi="Times New Roman" w:cs="Times New Roman"/>
          <w:sz w:val="24"/>
          <w:szCs w:val="24"/>
        </w:rPr>
        <w:t>a statusom PP</w:t>
      </w:r>
      <w:r w:rsidR="008955BE" w:rsidRPr="00C0186C">
        <w:rPr>
          <w:rFonts w:ascii="Times New Roman" w:hAnsi="Times New Roman" w:cs="Times New Roman"/>
          <w:sz w:val="24"/>
          <w:szCs w:val="24"/>
        </w:rPr>
        <w:t>-a</w:t>
      </w:r>
      <w:r w:rsidRPr="00C0186C">
        <w:rPr>
          <w:rFonts w:ascii="Times New Roman" w:hAnsi="Times New Roman" w:cs="Times New Roman"/>
          <w:sz w:val="24"/>
          <w:szCs w:val="24"/>
        </w:rPr>
        <w:t xml:space="preserve"> te predstavnici tijela državne uprave, a koji su kao članovi Radne skupine svojim prijedlozima, sugestijama i komentarima doprinijeli oblikovanju konačnog prijedloga Programa za razdoblje </w:t>
      </w:r>
      <w:r w:rsidR="00A75188" w:rsidRPr="00C0186C">
        <w:rPr>
          <w:rFonts w:ascii="Times New Roman" w:hAnsi="Times New Roman" w:cs="Times New Roman"/>
          <w:sz w:val="24"/>
          <w:szCs w:val="24"/>
        </w:rPr>
        <w:t>202</w:t>
      </w:r>
      <w:r w:rsidR="00A759C0">
        <w:rPr>
          <w:rFonts w:ascii="Times New Roman" w:hAnsi="Times New Roman" w:cs="Times New Roman"/>
          <w:sz w:val="24"/>
          <w:szCs w:val="24"/>
        </w:rPr>
        <w:t>2</w:t>
      </w:r>
      <w:r w:rsidR="00A75188" w:rsidRPr="00C0186C">
        <w:rPr>
          <w:rFonts w:ascii="Times New Roman" w:hAnsi="Times New Roman" w:cs="Times New Roman"/>
          <w:sz w:val="24"/>
          <w:szCs w:val="24"/>
        </w:rPr>
        <w:t>.-202</w:t>
      </w:r>
      <w:r w:rsidR="00A759C0">
        <w:rPr>
          <w:rFonts w:ascii="Times New Roman" w:hAnsi="Times New Roman" w:cs="Times New Roman"/>
          <w:sz w:val="24"/>
          <w:szCs w:val="24"/>
        </w:rPr>
        <w:t>5</w:t>
      </w:r>
      <w:r w:rsidRPr="00C0186C">
        <w:rPr>
          <w:rFonts w:ascii="Times New Roman" w:hAnsi="Times New Roman" w:cs="Times New Roman"/>
          <w:sz w:val="24"/>
          <w:szCs w:val="24"/>
        </w:rPr>
        <w:t xml:space="preserve">. </w:t>
      </w:r>
    </w:p>
    <w:p w14:paraId="49B6485F" w14:textId="77777777" w:rsidR="007B2688" w:rsidRPr="00C0186C" w:rsidRDefault="007B2688" w:rsidP="00B70EE8">
      <w:pPr>
        <w:spacing w:before="0" w:after="0"/>
        <w:jc w:val="both"/>
        <w:rPr>
          <w:rFonts w:ascii="Times New Roman" w:hAnsi="Times New Roman" w:cs="Times New Roman"/>
          <w:sz w:val="24"/>
          <w:szCs w:val="24"/>
        </w:rPr>
      </w:pPr>
    </w:p>
    <w:p w14:paraId="71033D13" w14:textId="77777777" w:rsidR="007B2688" w:rsidRPr="00C0186C" w:rsidRDefault="008E2760" w:rsidP="00B70EE8">
      <w:pPr>
        <w:pStyle w:val="Heading2"/>
        <w:spacing w:before="0"/>
        <w:rPr>
          <w:rFonts w:ascii="Times New Roman" w:hAnsi="Times New Roman" w:cs="Times New Roman"/>
          <w:b/>
          <w:bCs/>
          <w:sz w:val="24"/>
          <w:szCs w:val="24"/>
        </w:rPr>
      </w:pPr>
      <w:bookmarkStart w:id="15" w:name="_Toc95891861"/>
      <w:r w:rsidRPr="00C0186C">
        <w:rPr>
          <w:rFonts w:ascii="Times New Roman" w:hAnsi="Times New Roman" w:cs="Times New Roman"/>
          <w:b/>
          <w:bCs/>
          <w:sz w:val="24"/>
          <w:szCs w:val="24"/>
        </w:rPr>
        <w:t xml:space="preserve">4.2. </w:t>
      </w:r>
      <w:r w:rsidR="00D52072" w:rsidRPr="00C0186C">
        <w:rPr>
          <w:rFonts w:ascii="Times New Roman" w:hAnsi="Times New Roman" w:cs="Times New Roman"/>
          <w:b/>
          <w:bCs/>
          <w:sz w:val="24"/>
          <w:szCs w:val="24"/>
        </w:rPr>
        <w:t>CILJEVI PROGRAMA</w:t>
      </w:r>
      <w:bookmarkEnd w:id="15"/>
    </w:p>
    <w:p w14:paraId="244AF691" w14:textId="77777777" w:rsidR="007B2688" w:rsidRPr="00C0186C" w:rsidRDefault="007B2688" w:rsidP="00B70EE8">
      <w:pPr>
        <w:spacing w:before="0" w:after="0"/>
        <w:jc w:val="both"/>
        <w:rPr>
          <w:rFonts w:ascii="Times New Roman" w:hAnsi="Times New Roman" w:cs="Times New Roman"/>
          <w:sz w:val="24"/>
          <w:szCs w:val="24"/>
        </w:rPr>
      </w:pPr>
    </w:p>
    <w:p w14:paraId="6AE1EB78" w14:textId="77777777" w:rsidR="00FD5DE1" w:rsidRPr="00C0186C" w:rsidRDefault="00FD5DE1"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 xml:space="preserve">Slijedom prethodno iznesenih polazišta izrade Programa, </w:t>
      </w:r>
      <w:r w:rsidR="00DC3DE0" w:rsidRPr="00C0186C">
        <w:rPr>
          <w:rFonts w:ascii="Times New Roman" w:hAnsi="Times New Roman" w:cs="Times New Roman"/>
          <w:sz w:val="24"/>
          <w:szCs w:val="24"/>
        </w:rPr>
        <w:t xml:space="preserve">programski ciljevi moraju proizaći </w:t>
      </w:r>
      <w:r w:rsidR="00211413" w:rsidRPr="00C0186C">
        <w:rPr>
          <w:rFonts w:ascii="Times New Roman" w:hAnsi="Times New Roman" w:cs="Times New Roman"/>
          <w:sz w:val="24"/>
          <w:szCs w:val="24"/>
        </w:rPr>
        <w:t>i</w:t>
      </w:r>
      <w:r w:rsidR="00DC3DE0" w:rsidRPr="00C0186C">
        <w:rPr>
          <w:rFonts w:ascii="Times New Roman" w:hAnsi="Times New Roman" w:cs="Times New Roman"/>
          <w:sz w:val="24"/>
          <w:szCs w:val="24"/>
        </w:rPr>
        <w:t>z cjelovitog sagledavanja</w:t>
      </w:r>
      <w:r w:rsidR="00A90CEB" w:rsidRPr="00C0186C">
        <w:rPr>
          <w:rFonts w:ascii="Times New Roman" w:hAnsi="Times New Roman" w:cs="Times New Roman"/>
          <w:sz w:val="24"/>
          <w:szCs w:val="24"/>
        </w:rPr>
        <w:t xml:space="preserve"> svih</w:t>
      </w:r>
      <w:r w:rsidR="00DC3DE0" w:rsidRPr="00C0186C">
        <w:rPr>
          <w:rFonts w:ascii="Times New Roman" w:hAnsi="Times New Roman" w:cs="Times New Roman"/>
          <w:sz w:val="24"/>
          <w:szCs w:val="24"/>
        </w:rPr>
        <w:t xml:space="preserve"> bitnih zakonodavno-strateških odrednica i smjernic</w:t>
      </w:r>
      <w:r w:rsidR="00A90CEB" w:rsidRPr="00C0186C">
        <w:rPr>
          <w:rFonts w:ascii="Times New Roman" w:hAnsi="Times New Roman" w:cs="Times New Roman"/>
          <w:sz w:val="24"/>
          <w:szCs w:val="24"/>
        </w:rPr>
        <w:t>a</w:t>
      </w:r>
      <w:r w:rsidR="00DC3DE0" w:rsidRPr="00C0186C">
        <w:rPr>
          <w:rFonts w:ascii="Times New Roman" w:hAnsi="Times New Roman" w:cs="Times New Roman"/>
          <w:sz w:val="24"/>
          <w:szCs w:val="24"/>
        </w:rPr>
        <w:t xml:space="preserve">, </w:t>
      </w:r>
      <w:r w:rsidR="00A90CEB" w:rsidRPr="00C0186C">
        <w:rPr>
          <w:rFonts w:ascii="Times New Roman" w:hAnsi="Times New Roman" w:cs="Times New Roman"/>
          <w:sz w:val="24"/>
          <w:szCs w:val="24"/>
        </w:rPr>
        <w:t xml:space="preserve">zatim ključnih spoznaja i </w:t>
      </w:r>
      <w:r w:rsidR="00DC3DE0" w:rsidRPr="00C0186C">
        <w:rPr>
          <w:rFonts w:ascii="Times New Roman" w:hAnsi="Times New Roman" w:cs="Times New Roman"/>
          <w:sz w:val="24"/>
          <w:szCs w:val="24"/>
        </w:rPr>
        <w:t>zaključaka integriranih</w:t>
      </w:r>
      <w:r w:rsidRPr="00C0186C">
        <w:rPr>
          <w:rFonts w:ascii="Times New Roman" w:hAnsi="Times New Roman" w:cs="Times New Roman"/>
          <w:sz w:val="24"/>
          <w:szCs w:val="24"/>
        </w:rPr>
        <w:t xml:space="preserve"> a</w:t>
      </w:r>
      <w:r w:rsidR="00DC3DE0" w:rsidRPr="00C0186C">
        <w:rPr>
          <w:rFonts w:ascii="Times New Roman" w:hAnsi="Times New Roman" w:cs="Times New Roman"/>
          <w:sz w:val="24"/>
          <w:szCs w:val="24"/>
        </w:rPr>
        <w:t xml:space="preserve">nalitičkih podloga </w:t>
      </w:r>
      <w:r w:rsidR="003252A0" w:rsidRPr="00C0186C">
        <w:rPr>
          <w:rFonts w:ascii="Times New Roman" w:hAnsi="Times New Roman" w:cs="Times New Roman"/>
          <w:sz w:val="24"/>
          <w:szCs w:val="24"/>
        </w:rPr>
        <w:t>i naposljetku,</w:t>
      </w:r>
      <w:r w:rsidR="00DC3DE0" w:rsidRPr="00C0186C">
        <w:rPr>
          <w:rFonts w:ascii="Times New Roman" w:hAnsi="Times New Roman" w:cs="Times New Roman"/>
          <w:sz w:val="24"/>
          <w:szCs w:val="24"/>
        </w:rPr>
        <w:t xml:space="preserve"> konkretnih prijedloga </w:t>
      </w:r>
      <w:r w:rsidRPr="00C0186C">
        <w:rPr>
          <w:rFonts w:ascii="Times New Roman" w:hAnsi="Times New Roman" w:cs="Times New Roman"/>
          <w:sz w:val="24"/>
          <w:szCs w:val="24"/>
        </w:rPr>
        <w:t xml:space="preserve">dionika koji su bili uključeni u proces izrade Programa. </w:t>
      </w:r>
    </w:p>
    <w:p w14:paraId="78134FC7" w14:textId="77777777" w:rsidR="00FD5DE1" w:rsidRPr="00C0186C" w:rsidRDefault="00FD5DE1" w:rsidP="00B70EE8">
      <w:pPr>
        <w:spacing w:before="0" w:after="0"/>
        <w:jc w:val="both"/>
        <w:rPr>
          <w:rFonts w:ascii="Times New Roman" w:hAnsi="Times New Roman" w:cs="Times New Roman"/>
          <w:sz w:val="24"/>
          <w:szCs w:val="24"/>
        </w:rPr>
      </w:pPr>
    </w:p>
    <w:p w14:paraId="17E888CB" w14:textId="0C7FD6E4" w:rsidR="00FD5DE1" w:rsidRPr="00C0186C" w:rsidRDefault="00FD5DE1"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Jednako tako, prilikom definiranja ciljeva, važno je imati u vidu da Program, kao kratkoročni provedbeni akt strateškog planiranja, mora biti u funkciji ostvarenja već postavljenih strateških ciljeva od nacionalnog značaja na višim upravl</w:t>
      </w:r>
      <w:r w:rsidR="00172FDD" w:rsidRPr="00C0186C">
        <w:rPr>
          <w:rFonts w:ascii="Times New Roman" w:hAnsi="Times New Roman" w:cs="Times New Roman"/>
          <w:sz w:val="24"/>
          <w:szCs w:val="24"/>
        </w:rPr>
        <w:t>jačkim razinama (tablica 3</w:t>
      </w:r>
      <w:r w:rsidRPr="00C0186C">
        <w:rPr>
          <w:rFonts w:ascii="Times New Roman" w:hAnsi="Times New Roman" w:cs="Times New Roman"/>
          <w:sz w:val="24"/>
          <w:szCs w:val="24"/>
        </w:rPr>
        <w:t>.).</w:t>
      </w:r>
    </w:p>
    <w:p w14:paraId="4ED4A531" w14:textId="6931441E" w:rsidR="00623008" w:rsidRDefault="00623008" w:rsidP="00B70EE8">
      <w:pPr>
        <w:spacing w:before="0" w:after="0"/>
        <w:jc w:val="both"/>
        <w:rPr>
          <w:rFonts w:ascii="Times New Roman" w:hAnsi="Times New Roman" w:cs="Times New Roman"/>
          <w:sz w:val="24"/>
          <w:szCs w:val="24"/>
        </w:rPr>
      </w:pPr>
    </w:p>
    <w:p w14:paraId="220F1AD3" w14:textId="3884E805" w:rsidR="00567391" w:rsidRDefault="00567391" w:rsidP="00B70EE8">
      <w:pPr>
        <w:spacing w:before="0" w:after="0"/>
        <w:jc w:val="both"/>
        <w:rPr>
          <w:rFonts w:ascii="Times New Roman" w:hAnsi="Times New Roman" w:cs="Times New Roman"/>
          <w:sz w:val="24"/>
          <w:szCs w:val="24"/>
        </w:rPr>
      </w:pPr>
    </w:p>
    <w:p w14:paraId="5DC5D9B6" w14:textId="0A3E096A" w:rsidR="00567391" w:rsidRDefault="00567391" w:rsidP="00B70EE8">
      <w:pPr>
        <w:spacing w:before="0" w:after="0"/>
        <w:jc w:val="both"/>
        <w:rPr>
          <w:rFonts w:ascii="Times New Roman" w:hAnsi="Times New Roman" w:cs="Times New Roman"/>
          <w:sz w:val="24"/>
          <w:szCs w:val="24"/>
        </w:rPr>
      </w:pPr>
    </w:p>
    <w:p w14:paraId="08FBE960" w14:textId="4334AE63" w:rsidR="00567391" w:rsidRDefault="00567391" w:rsidP="00B70EE8">
      <w:pPr>
        <w:spacing w:before="0" w:after="0"/>
        <w:jc w:val="both"/>
        <w:rPr>
          <w:rFonts w:ascii="Times New Roman" w:hAnsi="Times New Roman" w:cs="Times New Roman"/>
          <w:sz w:val="24"/>
          <w:szCs w:val="24"/>
        </w:rPr>
      </w:pPr>
    </w:p>
    <w:p w14:paraId="5712F3BD" w14:textId="0D1D8975" w:rsidR="00567391" w:rsidRDefault="00567391" w:rsidP="00B70EE8">
      <w:pPr>
        <w:spacing w:before="0" w:after="0"/>
        <w:jc w:val="both"/>
        <w:rPr>
          <w:rFonts w:ascii="Times New Roman" w:hAnsi="Times New Roman" w:cs="Times New Roman"/>
          <w:sz w:val="24"/>
          <w:szCs w:val="24"/>
        </w:rPr>
      </w:pPr>
    </w:p>
    <w:p w14:paraId="412F0148" w14:textId="4350EE57" w:rsidR="00567391" w:rsidRDefault="00567391" w:rsidP="00B70EE8">
      <w:pPr>
        <w:spacing w:before="0" w:after="0"/>
        <w:jc w:val="both"/>
        <w:rPr>
          <w:rFonts w:ascii="Times New Roman" w:hAnsi="Times New Roman" w:cs="Times New Roman"/>
          <w:sz w:val="24"/>
          <w:szCs w:val="24"/>
        </w:rPr>
      </w:pPr>
    </w:p>
    <w:p w14:paraId="12D44884" w14:textId="74EE9950" w:rsidR="00567391" w:rsidRDefault="00567391" w:rsidP="00B70EE8">
      <w:pPr>
        <w:spacing w:before="0" w:after="0"/>
        <w:jc w:val="both"/>
        <w:rPr>
          <w:rFonts w:ascii="Times New Roman" w:hAnsi="Times New Roman" w:cs="Times New Roman"/>
          <w:sz w:val="24"/>
          <w:szCs w:val="24"/>
        </w:rPr>
      </w:pPr>
    </w:p>
    <w:p w14:paraId="007C7619" w14:textId="41CB3D14" w:rsidR="00567391" w:rsidRDefault="00567391" w:rsidP="00B70EE8">
      <w:pPr>
        <w:spacing w:before="0" w:after="0"/>
        <w:jc w:val="both"/>
        <w:rPr>
          <w:rFonts w:ascii="Times New Roman" w:hAnsi="Times New Roman" w:cs="Times New Roman"/>
          <w:sz w:val="24"/>
          <w:szCs w:val="24"/>
        </w:rPr>
      </w:pPr>
    </w:p>
    <w:p w14:paraId="2CF2F140" w14:textId="7F1DE00A" w:rsidR="00567391" w:rsidRDefault="00567391" w:rsidP="00B70EE8">
      <w:pPr>
        <w:spacing w:before="0" w:after="0"/>
        <w:jc w:val="both"/>
        <w:rPr>
          <w:rFonts w:ascii="Times New Roman" w:hAnsi="Times New Roman" w:cs="Times New Roman"/>
          <w:sz w:val="24"/>
          <w:szCs w:val="24"/>
        </w:rPr>
      </w:pPr>
    </w:p>
    <w:p w14:paraId="3828DDE3" w14:textId="12D529DB" w:rsidR="00567391" w:rsidRDefault="00567391" w:rsidP="00B70EE8">
      <w:pPr>
        <w:spacing w:before="0" w:after="0"/>
        <w:jc w:val="both"/>
        <w:rPr>
          <w:rFonts w:ascii="Times New Roman" w:hAnsi="Times New Roman" w:cs="Times New Roman"/>
          <w:sz w:val="24"/>
          <w:szCs w:val="24"/>
        </w:rPr>
      </w:pPr>
    </w:p>
    <w:p w14:paraId="16B3689D" w14:textId="7BC10F65" w:rsidR="00567391" w:rsidRDefault="00567391" w:rsidP="00B70EE8">
      <w:pPr>
        <w:spacing w:before="0" w:after="0"/>
        <w:jc w:val="both"/>
        <w:rPr>
          <w:rFonts w:ascii="Times New Roman" w:hAnsi="Times New Roman" w:cs="Times New Roman"/>
          <w:sz w:val="24"/>
          <w:szCs w:val="24"/>
        </w:rPr>
      </w:pPr>
    </w:p>
    <w:p w14:paraId="38789705" w14:textId="05466214" w:rsidR="00567391" w:rsidRDefault="00567391" w:rsidP="00B70EE8">
      <w:pPr>
        <w:spacing w:before="0" w:after="0"/>
        <w:jc w:val="both"/>
        <w:rPr>
          <w:rFonts w:ascii="Times New Roman" w:hAnsi="Times New Roman" w:cs="Times New Roman"/>
          <w:sz w:val="24"/>
          <w:szCs w:val="24"/>
        </w:rPr>
      </w:pPr>
    </w:p>
    <w:p w14:paraId="782D42C6" w14:textId="7B6797E4" w:rsidR="00567391" w:rsidRDefault="00567391" w:rsidP="00B70EE8">
      <w:pPr>
        <w:spacing w:before="0" w:after="0"/>
        <w:jc w:val="both"/>
        <w:rPr>
          <w:rFonts w:ascii="Times New Roman" w:hAnsi="Times New Roman" w:cs="Times New Roman"/>
          <w:sz w:val="24"/>
          <w:szCs w:val="24"/>
        </w:rPr>
      </w:pPr>
    </w:p>
    <w:p w14:paraId="503B10AB" w14:textId="04FB604B" w:rsidR="00567391" w:rsidRDefault="00567391" w:rsidP="00B70EE8">
      <w:pPr>
        <w:spacing w:before="0" w:after="0"/>
        <w:jc w:val="both"/>
        <w:rPr>
          <w:rFonts w:ascii="Times New Roman" w:hAnsi="Times New Roman" w:cs="Times New Roman"/>
          <w:sz w:val="24"/>
          <w:szCs w:val="24"/>
        </w:rPr>
      </w:pPr>
    </w:p>
    <w:p w14:paraId="3AA9CD80" w14:textId="1F3D8071" w:rsidR="00567391" w:rsidRDefault="00567391" w:rsidP="00B70EE8">
      <w:pPr>
        <w:spacing w:before="0" w:after="0"/>
        <w:jc w:val="both"/>
        <w:rPr>
          <w:rFonts w:ascii="Times New Roman" w:hAnsi="Times New Roman" w:cs="Times New Roman"/>
          <w:sz w:val="24"/>
          <w:szCs w:val="24"/>
        </w:rPr>
      </w:pPr>
    </w:p>
    <w:p w14:paraId="157539D5" w14:textId="4D385E7E" w:rsidR="00567391" w:rsidRDefault="00567391" w:rsidP="00B70EE8">
      <w:pPr>
        <w:spacing w:before="0" w:after="0"/>
        <w:jc w:val="both"/>
        <w:rPr>
          <w:rFonts w:ascii="Times New Roman" w:hAnsi="Times New Roman" w:cs="Times New Roman"/>
          <w:sz w:val="24"/>
          <w:szCs w:val="24"/>
        </w:rPr>
      </w:pPr>
    </w:p>
    <w:p w14:paraId="068DF7DF" w14:textId="2893FD4F" w:rsidR="00567391" w:rsidRDefault="00567391" w:rsidP="00B70EE8">
      <w:pPr>
        <w:spacing w:before="0" w:after="0"/>
        <w:jc w:val="both"/>
        <w:rPr>
          <w:rFonts w:ascii="Times New Roman" w:hAnsi="Times New Roman" w:cs="Times New Roman"/>
          <w:sz w:val="24"/>
          <w:szCs w:val="24"/>
        </w:rPr>
      </w:pPr>
    </w:p>
    <w:p w14:paraId="506988E7" w14:textId="77777777" w:rsidR="00DF5007" w:rsidRDefault="00DF5007" w:rsidP="00B70EE8">
      <w:pPr>
        <w:spacing w:before="0" w:after="0"/>
        <w:jc w:val="both"/>
        <w:rPr>
          <w:rFonts w:ascii="Times New Roman" w:hAnsi="Times New Roman" w:cs="Times New Roman"/>
          <w:sz w:val="24"/>
          <w:szCs w:val="24"/>
        </w:rPr>
      </w:pPr>
    </w:p>
    <w:p w14:paraId="0F9F73AC" w14:textId="732557E3" w:rsidR="00567391" w:rsidRDefault="00567391" w:rsidP="00B70EE8">
      <w:pPr>
        <w:spacing w:before="0" w:after="0"/>
        <w:jc w:val="both"/>
        <w:rPr>
          <w:rFonts w:ascii="Times New Roman" w:hAnsi="Times New Roman" w:cs="Times New Roman"/>
          <w:sz w:val="24"/>
          <w:szCs w:val="24"/>
        </w:rPr>
      </w:pPr>
    </w:p>
    <w:p w14:paraId="7AA98776" w14:textId="77777777" w:rsidR="00567391" w:rsidRPr="00C0186C" w:rsidRDefault="00567391" w:rsidP="00B70EE8">
      <w:pPr>
        <w:spacing w:before="0" w:after="0"/>
        <w:jc w:val="both"/>
        <w:rPr>
          <w:rFonts w:ascii="Times New Roman" w:hAnsi="Times New Roman" w:cs="Times New Roman"/>
          <w:sz w:val="24"/>
          <w:szCs w:val="24"/>
        </w:rPr>
      </w:pPr>
    </w:p>
    <w:p w14:paraId="4ED233A6" w14:textId="04B95D3F" w:rsidR="00370971" w:rsidRDefault="00172FDD" w:rsidP="00567391">
      <w:pPr>
        <w:spacing w:before="0" w:after="0"/>
        <w:jc w:val="both"/>
        <w:rPr>
          <w:rFonts w:ascii="Times New Roman" w:hAnsi="Times New Roman" w:cs="Times New Roman"/>
          <w:sz w:val="24"/>
          <w:szCs w:val="24"/>
        </w:rPr>
      </w:pPr>
      <w:r w:rsidRPr="00DF5007">
        <w:rPr>
          <w:rFonts w:ascii="Times New Roman" w:hAnsi="Times New Roman" w:cs="Times New Roman"/>
          <w:b/>
          <w:sz w:val="22"/>
          <w:szCs w:val="22"/>
        </w:rPr>
        <w:t>Tablica 3</w:t>
      </w:r>
      <w:r w:rsidR="00370971" w:rsidRPr="00DF5007">
        <w:rPr>
          <w:rFonts w:ascii="Times New Roman" w:hAnsi="Times New Roman" w:cs="Times New Roman"/>
          <w:b/>
          <w:sz w:val="22"/>
          <w:szCs w:val="22"/>
        </w:rPr>
        <w:t xml:space="preserve">. </w:t>
      </w:r>
      <w:r w:rsidR="00370971" w:rsidRPr="00DF5007">
        <w:rPr>
          <w:rFonts w:ascii="Times New Roman" w:hAnsi="Times New Roman" w:cs="Times New Roman"/>
          <w:sz w:val="22"/>
          <w:szCs w:val="22"/>
        </w:rPr>
        <w:t>Doprinos ciljeva Programa održivog društvenog i gospodarskog razvoja potpomognutih područja za razdoblje od 202</w:t>
      </w:r>
      <w:r w:rsidR="00A759C0">
        <w:rPr>
          <w:rFonts w:ascii="Times New Roman" w:hAnsi="Times New Roman" w:cs="Times New Roman"/>
          <w:sz w:val="22"/>
          <w:szCs w:val="22"/>
        </w:rPr>
        <w:t>2</w:t>
      </w:r>
      <w:r w:rsidR="00370971" w:rsidRPr="00DF5007">
        <w:rPr>
          <w:rFonts w:ascii="Times New Roman" w:hAnsi="Times New Roman" w:cs="Times New Roman"/>
          <w:sz w:val="22"/>
          <w:szCs w:val="22"/>
        </w:rPr>
        <w:t>. do 202</w:t>
      </w:r>
      <w:r w:rsidR="00A759C0">
        <w:rPr>
          <w:rFonts w:ascii="Times New Roman" w:hAnsi="Times New Roman" w:cs="Times New Roman"/>
          <w:sz w:val="22"/>
          <w:szCs w:val="22"/>
        </w:rPr>
        <w:t>5</w:t>
      </w:r>
      <w:r w:rsidR="00370971" w:rsidRPr="00DF5007">
        <w:rPr>
          <w:rFonts w:ascii="Times New Roman" w:hAnsi="Times New Roman" w:cs="Times New Roman"/>
          <w:sz w:val="22"/>
          <w:szCs w:val="22"/>
        </w:rPr>
        <w:t>. ostvarenju povezanih ciljeva više strateške razine</w:t>
      </w:r>
    </w:p>
    <w:p w14:paraId="4547C0B6" w14:textId="4E71684E" w:rsidR="00496F1B" w:rsidRPr="00C0186C" w:rsidRDefault="00496F1B" w:rsidP="00567391">
      <w:pPr>
        <w:spacing w:before="0" w:after="0"/>
        <w:jc w:val="both"/>
        <w:rPr>
          <w:rFonts w:ascii="Times New Roman" w:hAnsi="Times New Roman" w:cs="Times New Roman"/>
          <w:b/>
          <w:sz w:val="24"/>
          <w:szCs w:val="24"/>
        </w:rPr>
      </w:pPr>
    </w:p>
    <w:tbl>
      <w:tblPr>
        <w:tblStyle w:val="GridTable5Dark-Accent1"/>
        <w:tblW w:w="9072" w:type="dxa"/>
        <w:tblLook w:val="04A0" w:firstRow="1" w:lastRow="0" w:firstColumn="1" w:lastColumn="0" w:noHBand="0" w:noVBand="1"/>
      </w:tblPr>
      <w:tblGrid>
        <w:gridCol w:w="4376"/>
        <w:gridCol w:w="14"/>
        <w:gridCol w:w="4682"/>
      </w:tblGrid>
      <w:tr w:rsidR="00370971" w:rsidRPr="00C0186C" w14:paraId="3130B8D2" w14:textId="77777777" w:rsidTr="00113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tcPr>
          <w:p w14:paraId="711441E4" w14:textId="77777777" w:rsidR="00370971" w:rsidRPr="00D32164" w:rsidRDefault="00370971" w:rsidP="00B70EE8">
            <w:pPr>
              <w:spacing w:before="0" w:after="160"/>
              <w:jc w:val="both"/>
              <w:rPr>
                <w:rFonts w:ascii="Times New Roman" w:hAnsi="Times New Roman" w:cs="Times New Roman"/>
                <w:b w:val="0"/>
                <w:color w:val="000000" w:themeColor="text1"/>
                <w:sz w:val="24"/>
                <w:szCs w:val="24"/>
              </w:rPr>
            </w:pPr>
            <w:r w:rsidRPr="0011380C">
              <w:rPr>
                <w:rFonts w:ascii="Times New Roman" w:hAnsi="Times New Roman" w:cs="Times New Roman"/>
                <w:sz w:val="24"/>
                <w:szCs w:val="24"/>
              </w:rPr>
              <w:t>STRATEŠKI CILJEVI NA NACIONALNOJ RAZINI</w:t>
            </w:r>
          </w:p>
        </w:tc>
      </w:tr>
      <w:tr w:rsidR="00370971" w:rsidRPr="00C0186C" w14:paraId="097BCA99" w14:textId="77777777" w:rsidTr="0011380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4376" w:type="dxa"/>
            <w:vMerge w:val="restart"/>
          </w:tcPr>
          <w:p w14:paraId="352F26D5" w14:textId="77777777" w:rsidR="00370971" w:rsidRPr="0011380C" w:rsidRDefault="00370971" w:rsidP="00B70EE8">
            <w:pPr>
              <w:spacing w:before="0"/>
              <w:jc w:val="both"/>
              <w:rPr>
                <w:rFonts w:ascii="Times New Roman" w:hAnsi="Times New Roman" w:cs="Times New Roman"/>
                <w:sz w:val="24"/>
                <w:szCs w:val="24"/>
              </w:rPr>
            </w:pPr>
            <w:r w:rsidRPr="0011380C">
              <w:rPr>
                <w:rFonts w:ascii="Times New Roman" w:hAnsi="Times New Roman" w:cs="Times New Roman"/>
                <w:sz w:val="24"/>
                <w:szCs w:val="24"/>
              </w:rPr>
              <w:t xml:space="preserve">Nacionalna razvojna strategija Republike Hrvatske do 2030. </w:t>
            </w:r>
          </w:p>
        </w:tc>
        <w:tc>
          <w:tcPr>
            <w:tcW w:w="4696" w:type="dxa"/>
            <w:gridSpan w:val="2"/>
            <w:shd w:val="clear" w:color="auto" w:fill="DEEAF6" w:themeFill="accent1" w:themeFillTint="33"/>
          </w:tcPr>
          <w:p w14:paraId="6CF18B59" w14:textId="77777777" w:rsidR="00370971" w:rsidRPr="0011380C" w:rsidRDefault="00370971" w:rsidP="00B70EE8">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11380C">
              <w:rPr>
                <w:rFonts w:ascii="Times New Roman" w:hAnsi="Times New Roman" w:cs="Times New Roman"/>
                <w:bCs/>
                <w:color w:val="000000" w:themeColor="text1"/>
                <w:sz w:val="24"/>
                <w:szCs w:val="24"/>
              </w:rPr>
              <w:t>Ravnomjerni regionalni razvoj</w:t>
            </w:r>
          </w:p>
        </w:tc>
      </w:tr>
      <w:tr w:rsidR="00370971" w:rsidRPr="00C0186C" w14:paraId="3D171B90" w14:textId="77777777" w:rsidTr="0011380C">
        <w:trPr>
          <w:trHeight w:val="682"/>
        </w:trPr>
        <w:tc>
          <w:tcPr>
            <w:cnfStyle w:val="001000000000" w:firstRow="0" w:lastRow="0" w:firstColumn="1" w:lastColumn="0" w:oddVBand="0" w:evenVBand="0" w:oddHBand="0" w:evenHBand="0" w:firstRowFirstColumn="0" w:firstRowLastColumn="0" w:lastRowFirstColumn="0" w:lastRowLastColumn="0"/>
            <w:tcW w:w="4376" w:type="dxa"/>
            <w:vMerge/>
          </w:tcPr>
          <w:p w14:paraId="6D180D65" w14:textId="77777777" w:rsidR="00370971" w:rsidRPr="0011380C" w:rsidRDefault="00370971" w:rsidP="00B70EE8">
            <w:pPr>
              <w:spacing w:before="0"/>
              <w:jc w:val="center"/>
              <w:rPr>
                <w:rFonts w:ascii="Times New Roman" w:hAnsi="Times New Roman" w:cs="Times New Roman"/>
                <w:b w:val="0"/>
                <w:sz w:val="24"/>
                <w:szCs w:val="24"/>
              </w:rPr>
            </w:pPr>
          </w:p>
        </w:tc>
        <w:tc>
          <w:tcPr>
            <w:tcW w:w="4696" w:type="dxa"/>
            <w:gridSpan w:val="2"/>
          </w:tcPr>
          <w:p w14:paraId="4EC6D646" w14:textId="77777777" w:rsidR="00370971" w:rsidRPr="0011380C" w:rsidRDefault="00370971" w:rsidP="00B70EE8">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11380C">
              <w:rPr>
                <w:rFonts w:ascii="Times New Roman" w:hAnsi="Times New Roman" w:cs="Times New Roman"/>
                <w:bCs/>
                <w:color w:val="000000" w:themeColor="text1"/>
                <w:sz w:val="24"/>
                <w:szCs w:val="24"/>
              </w:rPr>
              <w:t>Razvoj potpomognutih područja i područja s razvojnim posebnostima</w:t>
            </w:r>
          </w:p>
        </w:tc>
      </w:tr>
      <w:tr w:rsidR="00370971" w:rsidRPr="00C0186C" w14:paraId="6927DEFA" w14:textId="77777777" w:rsidTr="0011380C">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4376" w:type="dxa"/>
            <w:vMerge w:val="restart"/>
          </w:tcPr>
          <w:p w14:paraId="3A893EE0" w14:textId="77777777" w:rsidR="00370971" w:rsidRPr="0011380C" w:rsidRDefault="00370971" w:rsidP="00B70EE8">
            <w:pPr>
              <w:spacing w:before="0" w:after="160"/>
              <w:jc w:val="both"/>
              <w:rPr>
                <w:rFonts w:ascii="Times New Roman" w:hAnsi="Times New Roman" w:cs="Times New Roman"/>
                <w:sz w:val="24"/>
                <w:szCs w:val="24"/>
              </w:rPr>
            </w:pPr>
            <w:r w:rsidRPr="0011380C">
              <w:rPr>
                <w:rFonts w:ascii="Times New Roman" w:hAnsi="Times New Roman" w:cs="Times New Roman"/>
                <w:sz w:val="24"/>
                <w:szCs w:val="24"/>
              </w:rPr>
              <w:t>Program Vlade RH 2020</w:t>
            </w:r>
            <w:r w:rsidR="00B862E1" w:rsidRPr="0011380C">
              <w:rPr>
                <w:rFonts w:ascii="Times New Roman" w:hAnsi="Times New Roman" w:cs="Times New Roman"/>
                <w:sz w:val="24"/>
                <w:szCs w:val="24"/>
              </w:rPr>
              <w:t>.–2024</w:t>
            </w:r>
            <w:r w:rsidRPr="0011380C">
              <w:rPr>
                <w:rFonts w:ascii="Times New Roman" w:hAnsi="Times New Roman" w:cs="Times New Roman"/>
                <w:sz w:val="24"/>
                <w:szCs w:val="24"/>
              </w:rPr>
              <w:t xml:space="preserve">.  </w:t>
            </w:r>
          </w:p>
        </w:tc>
        <w:tc>
          <w:tcPr>
            <w:tcW w:w="4696" w:type="dxa"/>
            <w:gridSpan w:val="2"/>
            <w:shd w:val="clear" w:color="auto" w:fill="DEEAF6" w:themeFill="accent1" w:themeFillTint="33"/>
          </w:tcPr>
          <w:p w14:paraId="3E3DEFDE" w14:textId="77777777" w:rsidR="00370971" w:rsidRPr="0011380C" w:rsidRDefault="003C0E89" w:rsidP="00B70EE8">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11380C">
              <w:rPr>
                <w:rFonts w:ascii="Times New Roman" w:hAnsi="Times New Roman" w:cs="Times New Roman"/>
                <w:bCs/>
                <w:color w:val="000000" w:themeColor="text1"/>
                <w:sz w:val="24"/>
                <w:szCs w:val="24"/>
              </w:rPr>
              <w:t>Perspektivna budućnost</w:t>
            </w:r>
          </w:p>
        </w:tc>
      </w:tr>
      <w:tr w:rsidR="00370971" w:rsidRPr="00C0186C" w14:paraId="500438F5" w14:textId="77777777" w:rsidTr="0011380C">
        <w:trPr>
          <w:trHeight w:val="961"/>
        </w:trPr>
        <w:tc>
          <w:tcPr>
            <w:cnfStyle w:val="001000000000" w:firstRow="0" w:lastRow="0" w:firstColumn="1" w:lastColumn="0" w:oddVBand="0" w:evenVBand="0" w:oddHBand="0" w:evenHBand="0" w:firstRowFirstColumn="0" w:firstRowLastColumn="0" w:lastRowFirstColumn="0" w:lastRowLastColumn="0"/>
            <w:tcW w:w="4376" w:type="dxa"/>
            <w:vMerge/>
          </w:tcPr>
          <w:p w14:paraId="39A21A07" w14:textId="77777777" w:rsidR="00370971" w:rsidRPr="0011380C" w:rsidRDefault="00370971" w:rsidP="00B70EE8">
            <w:pPr>
              <w:spacing w:before="0" w:after="160"/>
              <w:jc w:val="both"/>
              <w:rPr>
                <w:rFonts w:ascii="Times New Roman" w:hAnsi="Times New Roman" w:cs="Times New Roman"/>
                <w:sz w:val="24"/>
                <w:szCs w:val="24"/>
              </w:rPr>
            </w:pPr>
          </w:p>
        </w:tc>
        <w:tc>
          <w:tcPr>
            <w:tcW w:w="4696" w:type="dxa"/>
            <w:gridSpan w:val="2"/>
          </w:tcPr>
          <w:p w14:paraId="1ACD4607" w14:textId="77777777" w:rsidR="00370971" w:rsidRPr="0011380C" w:rsidRDefault="00E76FA8" w:rsidP="00B70EE8">
            <w:pPr>
              <w:spacing w:before="0"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11380C">
              <w:rPr>
                <w:rFonts w:ascii="Times New Roman" w:hAnsi="Times New Roman" w:cs="Times New Roman"/>
                <w:bCs/>
                <w:color w:val="000000" w:themeColor="text1"/>
                <w:sz w:val="24"/>
                <w:szCs w:val="24"/>
              </w:rPr>
              <w:t>Gospodarski oporavak i poslovno okruženje</w:t>
            </w:r>
          </w:p>
        </w:tc>
      </w:tr>
      <w:tr w:rsidR="00370971" w:rsidRPr="00C0186C" w14:paraId="11F9C3D7" w14:textId="77777777" w:rsidTr="00113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tcPr>
          <w:p w14:paraId="4D09F49B" w14:textId="77777777" w:rsidR="00370971" w:rsidRPr="0011380C" w:rsidRDefault="00370971" w:rsidP="00B70EE8">
            <w:pPr>
              <w:spacing w:before="0" w:after="160"/>
              <w:jc w:val="both"/>
              <w:rPr>
                <w:rFonts w:ascii="Times New Roman" w:hAnsi="Times New Roman" w:cs="Times New Roman"/>
                <w:b w:val="0"/>
                <w:sz w:val="24"/>
                <w:szCs w:val="24"/>
              </w:rPr>
            </w:pPr>
            <w:r w:rsidRPr="0011380C">
              <w:rPr>
                <w:rFonts w:ascii="Times New Roman" w:hAnsi="Times New Roman" w:cs="Times New Roman"/>
                <w:sz w:val="24"/>
                <w:szCs w:val="24"/>
              </w:rPr>
              <w:t>STRATEŠKI CILJEVI POLITIKE REGIONALNOG RAZVOJA</w:t>
            </w:r>
          </w:p>
        </w:tc>
      </w:tr>
      <w:tr w:rsidR="00370971" w:rsidRPr="00C0186C" w14:paraId="59BE63F9" w14:textId="77777777" w:rsidTr="002072C0">
        <w:trPr>
          <w:trHeight w:val="348"/>
        </w:trPr>
        <w:tc>
          <w:tcPr>
            <w:cnfStyle w:val="001000000000" w:firstRow="0" w:lastRow="0" w:firstColumn="1" w:lastColumn="0" w:oddVBand="0" w:evenVBand="0" w:oddHBand="0" w:evenHBand="0" w:firstRowFirstColumn="0" w:firstRowLastColumn="0" w:lastRowFirstColumn="0" w:lastRowLastColumn="0"/>
            <w:tcW w:w="4376" w:type="dxa"/>
            <w:vMerge w:val="restart"/>
          </w:tcPr>
          <w:p w14:paraId="35DAC74D" w14:textId="77777777" w:rsidR="00370971" w:rsidRPr="0011380C" w:rsidRDefault="00B862E1" w:rsidP="00B70EE8">
            <w:pPr>
              <w:spacing w:before="0" w:after="160"/>
              <w:jc w:val="both"/>
              <w:rPr>
                <w:rFonts w:ascii="Times New Roman" w:hAnsi="Times New Roman" w:cs="Times New Roman"/>
                <w:sz w:val="24"/>
                <w:szCs w:val="24"/>
              </w:rPr>
            </w:pPr>
            <w:r w:rsidRPr="0011380C">
              <w:rPr>
                <w:rFonts w:ascii="Times New Roman" w:hAnsi="Times New Roman" w:cs="Times New Roman"/>
                <w:sz w:val="24"/>
                <w:szCs w:val="24"/>
              </w:rPr>
              <w:t>Provedbeni program MRRFEU za razdoblje od 202</w:t>
            </w:r>
            <w:r w:rsidR="00D97CE5" w:rsidRPr="0011380C">
              <w:rPr>
                <w:rFonts w:ascii="Times New Roman" w:hAnsi="Times New Roman" w:cs="Times New Roman"/>
                <w:sz w:val="24"/>
                <w:szCs w:val="24"/>
              </w:rPr>
              <w:t>1</w:t>
            </w:r>
            <w:r w:rsidRPr="0011380C">
              <w:rPr>
                <w:rFonts w:ascii="Times New Roman" w:hAnsi="Times New Roman" w:cs="Times New Roman"/>
                <w:sz w:val="24"/>
                <w:szCs w:val="24"/>
              </w:rPr>
              <w:t>.</w:t>
            </w:r>
            <w:r w:rsidR="006A52D4" w:rsidRPr="0011380C">
              <w:rPr>
                <w:rFonts w:ascii="Times New Roman" w:hAnsi="Times New Roman" w:cs="Times New Roman"/>
                <w:sz w:val="24"/>
                <w:szCs w:val="24"/>
              </w:rPr>
              <w:t xml:space="preserve"> </w:t>
            </w:r>
            <w:r w:rsidRPr="0011380C">
              <w:rPr>
                <w:rFonts w:ascii="Times New Roman" w:hAnsi="Times New Roman" w:cs="Times New Roman"/>
                <w:sz w:val="24"/>
                <w:szCs w:val="24"/>
              </w:rPr>
              <w:t>do 2024</w:t>
            </w:r>
            <w:r w:rsidR="00370971" w:rsidRPr="0011380C">
              <w:rPr>
                <w:rFonts w:ascii="Times New Roman" w:hAnsi="Times New Roman" w:cs="Times New Roman"/>
                <w:sz w:val="24"/>
                <w:szCs w:val="24"/>
              </w:rPr>
              <w:t>.</w:t>
            </w:r>
          </w:p>
        </w:tc>
        <w:tc>
          <w:tcPr>
            <w:tcW w:w="4696" w:type="dxa"/>
            <w:gridSpan w:val="2"/>
          </w:tcPr>
          <w:p w14:paraId="251CB7A8" w14:textId="77777777" w:rsidR="00370971" w:rsidRPr="002072C0" w:rsidRDefault="00370971" w:rsidP="00B70EE8">
            <w:pPr>
              <w:spacing w:before="0"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2072C0">
              <w:rPr>
                <w:rFonts w:ascii="Times New Roman" w:hAnsi="Times New Roman" w:cs="Times New Roman"/>
                <w:bCs/>
                <w:color w:val="000000" w:themeColor="text1"/>
                <w:sz w:val="24"/>
                <w:szCs w:val="24"/>
              </w:rPr>
              <w:t xml:space="preserve">Poticanje konkurentnosti i urbanog razvoja </w:t>
            </w:r>
          </w:p>
        </w:tc>
      </w:tr>
      <w:tr w:rsidR="00370971" w:rsidRPr="00C0186C" w14:paraId="4737FC34" w14:textId="77777777" w:rsidTr="002072C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76" w:type="dxa"/>
            <w:vMerge/>
          </w:tcPr>
          <w:p w14:paraId="780E2D48" w14:textId="77777777" w:rsidR="00370971" w:rsidRPr="0011380C" w:rsidRDefault="00370971" w:rsidP="00B70EE8">
            <w:pPr>
              <w:spacing w:before="0" w:after="160"/>
              <w:jc w:val="both"/>
              <w:rPr>
                <w:rFonts w:ascii="Times New Roman" w:hAnsi="Times New Roman" w:cs="Times New Roman"/>
                <w:sz w:val="24"/>
                <w:szCs w:val="24"/>
              </w:rPr>
            </w:pPr>
          </w:p>
        </w:tc>
        <w:tc>
          <w:tcPr>
            <w:tcW w:w="4696" w:type="dxa"/>
            <w:gridSpan w:val="2"/>
            <w:shd w:val="clear" w:color="auto" w:fill="DEEAF6" w:themeFill="accent1" w:themeFillTint="33"/>
          </w:tcPr>
          <w:p w14:paraId="52EC1D97" w14:textId="77777777" w:rsidR="00370971" w:rsidRPr="002072C0" w:rsidRDefault="00370971" w:rsidP="00B70EE8">
            <w:pPr>
              <w:spacing w:before="0"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2072C0">
              <w:rPr>
                <w:rFonts w:ascii="Times New Roman" w:hAnsi="Times New Roman" w:cs="Times New Roman"/>
                <w:bCs/>
                <w:color w:val="000000" w:themeColor="text1"/>
                <w:sz w:val="24"/>
                <w:szCs w:val="24"/>
              </w:rPr>
              <w:t>Razvoj PP</w:t>
            </w:r>
          </w:p>
        </w:tc>
      </w:tr>
      <w:tr w:rsidR="00370971" w:rsidRPr="00C0186C" w14:paraId="43D68091" w14:textId="77777777" w:rsidTr="0011380C">
        <w:tc>
          <w:tcPr>
            <w:cnfStyle w:val="001000000000" w:firstRow="0" w:lastRow="0" w:firstColumn="1" w:lastColumn="0" w:oddVBand="0" w:evenVBand="0" w:oddHBand="0" w:evenHBand="0" w:firstRowFirstColumn="0" w:firstRowLastColumn="0" w:lastRowFirstColumn="0" w:lastRowLastColumn="0"/>
            <w:tcW w:w="9072" w:type="dxa"/>
            <w:gridSpan w:val="3"/>
          </w:tcPr>
          <w:p w14:paraId="49D32245" w14:textId="77777777" w:rsidR="00370971" w:rsidRPr="0011380C" w:rsidRDefault="00370971" w:rsidP="00B70EE8">
            <w:pPr>
              <w:spacing w:before="0" w:after="160"/>
              <w:jc w:val="both"/>
              <w:rPr>
                <w:rFonts w:ascii="Times New Roman" w:hAnsi="Times New Roman" w:cs="Times New Roman"/>
                <w:b w:val="0"/>
                <w:sz w:val="24"/>
                <w:szCs w:val="24"/>
              </w:rPr>
            </w:pPr>
            <w:r w:rsidRPr="0011380C">
              <w:rPr>
                <w:rFonts w:ascii="Times New Roman" w:hAnsi="Times New Roman" w:cs="Times New Roman"/>
                <w:sz w:val="24"/>
                <w:szCs w:val="24"/>
              </w:rPr>
              <w:t>OPĆI CILJ POLITIKE REGIONALNOG RAZVOJA</w:t>
            </w:r>
          </w:p>
        </w:tc>
      </w:tr>
      <w:tr w:rsidR="00370971" w:rsidRPr="00C0186C" w14:paraId="5BF7F626" w14:textId="77777777" w:rsidTr="00113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gridSpan w:val="2"/>
          </w:tcPr>
          <w:p w14:paraId="170F09CE" w14:textId="77777777" w:rsidR="00370971" w:rsidRPr="0011380C" w:rsidRDefault="00370971" w:rsidP="00B70EE8">
            <w:pPr>
              <w:spacing w:before="0" w:after="160"/>
              <w:jc w:val="both"/>
              <w:rPr>
                <w:rFonts w:ascii="Times New Roman" w:hAnsi="Times New Roman" w:cs="Times New Roman"/>
                <w:b w:val="0"/>
                <w:sz w:val="24"/>
                <w:szCs w:val="24"/>
              </w:rPr>
            </w:pPr>
            <w:r w:rsidRPr="0011380C">
              <w:rPr>
                <w:rFonts w:ascii="Times New Roman" w:hAnsi="Times New Roman" w:cs="Times New Roman"/>
                <w:sz w:val="24"/>
                <w:szCs w:val="24"/>
              </w:rPr>
              <w:t xml:space="preserve">Zakon o regionalnom razvoju Republike Hrvatske </w:t>
            </w:r>
          </w:p>
        </w:tc>
        <w:tc>
          <w:tcPr>
            <w:tcW w:w="4682" w:type="dxa"/>
            <w:shd w:val="clear" w:color="auto" w:fill="DEEAF6" w:themeFill="accent1" w:themeFillTint="33"/>
          </w:tcPr>
          <w:p w14:paraId="36F7D01F" w14:textId="77777777" w:rsidR="00370971" w:rsidRPr="00D32164" w:rsidRDefault="00370971" w:rsidP="00B70EE8">
            <w:pPr>
              <w:spacing w:before="0"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D32164">
              <w:rPr>
                <w:rFonts w:ascii="Times New Roman" w:hAnsi="Times New Roman" w:cs="Times New Roman"/>
                <w:bCs/>
                <w:color w:val="000000" w:themeColor="text1"/>
                <w:sz w:val="24"/>
                <w:szCs w:val="24"/>
              </w:rPr>
              <w:t>Pridonijeti društveno-gospodarskom razvoju Republike Hrvatske, u skladu s načelima održivog razvoja, stvaranjem uvjeta koji će svim dijelovima zemlje omogućiti jačanje konkurentnosti i realizaciju vlastitog razvojnog potencijala</w:t>
            </w:r>
          </w:p>
        </w:tc>
      </w:tr>
      <w:tr w:rsidR="00370971" w:rsidRPr="00C0186C" w14:paraId="038CDCB3" w14:textId="77777777" w:rsidTr="0011380C">
        <w:tc>
          <w:tcPr>
            <w:cnfStyle w:val="001000000000" w:firstRow="0" w:lastRow="0" w:firstColumn="1" w:lastColumn="0" w:oddVBand="0" w:evenVBand="0" w:oddHBand="0" w:evenHBand="0" w:firstRowFirstColumn="0" w:firstRowLastColumn="0" w:lastRowFirstColumn="0" w:lastRowLastColumn="0"/>
            <w:tcW w:w="9072" w:type="dxa"/>
            <w:gridSpan w:val="3"/>
          </w:tcPr>
          <w:p w14:paraId="52AAF52F" w14:textId="77777777" w:rsidR="00370971" w:rsidRPr="0011380C" w:rsidRDefault="00370971" w:rsidP="00B70EE8">
            <w:pPr>
              <w:spacing w:before="0" w:after="160"/>
              <w:jc w:val="both"/>
              <w:rPr>
                <w:rFonts w:ascii="Times New Roman" w:hAnsi="Times New Roman" w:cs="Times New Roman"/>
                <w:b w:val="0"/>
                <w:bCs w:val="0"/>
                <w:sz w:val="24"/>
                <w:szCs w:val="24"/>
              </w:rPr>
            </w:pPr>
            <w:r w:rsidRPr="0011380C">
              <w:rPr>
                <w:rFonts w:ascii="Times New Roman" w:hAnsi="Times New Roman" w:cs="Times New Roman"/>
                <w:sz w:val="24"/>
                <w:szCs w:val="24"/>
              </w:rPr>
              <w:t>POSEBNI CILJ POLITIKE REGIONALNOG RAZVOJA</w:t>
            </w:r>
          </w:p>
        </w:tc>
      </w:tr>
      <w:tr w:rsidR="00370971" w:rsidRPr="00C0186C" w14:paraId="5DC0003B" w14:textId="77777777" w:rsidTr="0011380C">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4390" w:type="dxa"/>
            <w:gridSpan w:val="2"/>
          </w:tcPr>
          <w:p w14:paraId="4DFB8396" w14:textId="77777777" w:rsidR="00370971" w:rsidRPr="0011380C" w:rsidRDefault="00370971" w:rsidP="00B70EE8">
            <w:pPr>
              <w:spacing w:before="0" w:after="160"/>
              <w:jc w:val="both"/>
              <w:rPr>
                <w:rFonts w:ascii="Times New Roman" w:hAnsi="Times New Roman" w:cs="Times New Roman"/>
                <w:sz w:val="24"/>
                <w:szCs w:val="24"/>
              </w:rPr>
            </w:pPr>
            <w:r w:rsidRPr="0011380C">
              <w:rPr>
                <w:rFonts w:ascii="Times New Roman" w:hAnsi="Times New Roman" w:cs="Times New Roman"/>
                <w:sz w:val="24"/>
                <w:szCs w:val="24"/>
              </w:rPr>
              <w:t xml:space="preserve">Zakon o potpomognutim  područjima </w:t>
            </w:r>
          </w:p>
        </w:tc>
        <w:tc>
          <w:tcPr>
            <w:tcW w:w="4682" w:type="dxa"/>
            <w:shd w:val="clear" w:color="auto" w:fill="DEEAF6" w:themeFill="accent1" w:themeFillTint="33"/>
          </w:tcPr>
          <w:p w14:paraId="44F3F30D" w14:textId="77777777" w:rsidR="00370971" w:rsidRPr="00D32164" w:rsidRDefault="00370971" w:rsidP="00B70EE8">
            <w:pPr>
              <w:spacing w:before="0"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164">
              <w:rPr>
                <w:rFonts w:ascii="Times New Roman" w:hAnsi="Times New Roman" w:cs="Times New Roman"/>
                <w:sz w:val="24"/>
                <w:szCs w:val="24"/>
              </w:rPr>
              <w:t>Cilj upravljanja razvojem potpomognutih područja je pridonijeti njihovu gospodarskom i svekolikom razvoju u skladu s njihovim posebnostima i načelima zakona kojim se uređuje regionalni razvoj Republike Hrvatske.</w:t>
            </w:r>
          </w:p>
        </w:tc>
      </w:tr>
    </w:tbl>
    <w:p w14:paraId="29D5AE5A" w14:textId="77777777" w:rsidR="00370971" w:rsidRPr="00C0186C" w:rsidRDefault="00370971" w:rsidP="00567391">
      <w:pPr>
        <w:spacing w:before="0" w:after="0"/>
        <w:jc w:val="both"/>
        <w:rPr>
          <w:rFonts w:ascii="Times New Roman" w:hAnsi="Times New Roman" w:cs="Times New Roman"/>
          <w:sz w:val="24"/>
          <w:szCs w:val="24"/>
        </w:rPr>
      </w:pPr>
    </w:p>
    <w:p w14:paraId="058E8126" w14:textId="453E4365" w:rsidR="00C618C1" w:rsidRPr="00C0186C" w:rsidRDefault="00467AB1"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Iz uvida</w:t>
      </w:r>
      <w:r w:rsidR="0014477F" w:rsidRPr="00C0186C">
        <w:rPr>
          <w:rFonts w:ascii="Times New Roman" w:hAnsi="Times New Roman" w:cs="Times New Roman"/>
          <w:sz w:val="24"/>
          <w:szCs w:val="24"/>
        </w:rPr>
        <w:t xml:space="preserve"> u ključne elemente konceptualnog okvira izrade</w:t>
      </w:r>
      <w:r w:rsidR="00AB6396" w:rsidRPr="00C0186C">
        <w:rPr>
          <w:rFonts w:ascii="Times New Roman" w:hAnsi="Times New Roman" w:cs="Times New Roman"/>
          <w:sz w:val="24"/>
          <w:szCs w:val="24"/>
        </w:rPr>
        <w:t xml:space="preserve"> Programa, a posebno</w:t>
      </w:r>
      <w:r w:rsidR="0014477F" w:rsidRPr="00C0186C">
        <w:rPr>
          <w:rFonts w:ascii="Times New Roman" w:hAnsi="Times New Roman" w:cs="Times New Roman"/>
          <w:sz w:val="24"/>
          <w:szCs w:val="24"/>
        </w:rPr>
        <w:t xml:space="preserve"> </w:t>
      </w:r>
      <w:r w:rsidRPr="00C0186C">
        <w:rPr>
          <w:rFonts w:ascii="Times New Roman" w:hAnsi="Times New Roman" w:cs="Times New Roman"/>
          <w:sz w:val="24"/>
          <w:szCs w:val="24"/>
        </w:rPr>
        <w:t>rezultata</w:t>
      </w:r>
      <w:r w:rsidR="00AB6396" w:rsidRPr="00C0186C">
        <w:rPr>
          <w:rFonts w:ascii="Times New Roman" w:hAnsi="Times New Roman" w:cs="Times New Roman"/>
          <w:sz w:val="24"/>
          <w:szCs w:val="24"/>
        </w:rPr>
        <w:t xml:space="preserve"> </w:t>
      </w:r>
      <w:r w:rsidRPr="00C0186C">
        <w:rPr>
          <w:rFonts w:ascii="Times New Roman" w:hAnsi="Times New Roman" w:cs="Times New Roman"/>
          <w:sz w:val="24"/>
          <w:szCs w:val="24"/>
        </w:rPr>
        <w:t>dobivenih</w:t>
      </w:r>
      <w:r w:rsidR="00AB6396" w:rsidRPr="00C0186C">
        <w:rPr>
          <w:rFonts w:ascii="Times New Roman" w:hAnsi="Times New Roman" w:cs="Times New Roman"/>
          <w:sz w:val="24"/>
          <w:szCs w:val="24"/>
        </w:rPr>
        <w:t xml:space="preserve"> analizom dugoročnih i kratkoročnih </w:t>
      </w:r>
      <w:r w:rsidR="0014477F" w:rsidRPr="00C0186C">
        <w:rPr>
          <w:rFonts w:ascii="Times New Roman" w:hAnsi="Times New Roman" w:cs="Times New Roman"/>
          <w:sz w:val="24"/>
          <w:szCs w:val="24"/>
        </w:rPr>
        <w:t>razvojnih obilježja</w:t>
      </w:r>
      <w:r w:rsidR="00AB6396" w:rsidRPr="00C0186C">
        <w:rPr>
          <w:rFonts w:ascii="Times New Roman" w:hAnsi="Times New Roman" w:cs="Times New Roman"/>
          <w:sz w:val="24"/>
          <w:szCs w:val="24"/>
        </w:rPr>
        <w:t xml:space="preserve"> </w:t>
      </w:r>
      <w:r w:rsidR="0014477F" w:rsidRPr="00C0186C">
        <w:rPr>
          <w:rFonts w:ascii="Times New Roman" w:hAnsi="Times New Roman" w:cs="Times New Roman"/>
          <w:sz w:val="24"/>
          <w:szCs w:val="24"/>
        </w:rPr>
        <w:t>PP</w:t>
      </w:r>
      <w:r w:rsidR="008955BE" w:rsidRPr="00C0186C">
        <w:rPr>
          <w:rFonts w:ascii="Times New Roman" w:hAnsi="Times New Roman" w:cs="Times New Roman"/>
          <w:sz w:val="24"/>
          <w:szCs w:val="24"/>
        </w:rPr>
        <w:t>-a</w:t>
      </w:r>
      <w:r w:rsidR="00AB6396" w:rsidRPr="00C0186C">
        <w:rPr>
          <w:rFonts w:ascii="Times New Roman" w:hAnsi="Times New Roman" w:cs="Times New Roman"/>
          <w:sz w:val="24"/>
          <w:szCs w:val="24"/>
        </w:rPr>
        <w:t xml:space="preserve">, </w:t>
      </w:r>
      <w:r w:rsidR="00005AC0" w:rsidRPr="00C0186C">
        <w:rPr>
          <w:rFonts w:ascii="Times New Roman" w:hAnsi="Times New Roman" w:cs="Times New Roman"/>
          <w:sz w:val="24"/>
          <w:szCs w:val="24"/>
        </w:rPr>
        <w:t xml:space="preserve">može se zaključiti kako je </w:t>
      </w:r>
      <w:r w:rsidRPr="00C0186C">
        <w:rPr>
          <w:rFonts w:ascii="Times New Roman" w:hAnsi="Times New Roman" w:cs="Times New Roman"/>
          <w:sz w:val="24"/>
          <w:szCs w:val="24"/>
        </w:rPr>
        <w:t>nužno da sve</w:t>
      </w:r>
      <w:r w:rsidR="00005AC0" w:rsidRPr="00C0186C">
        <w:rPr>
          <w:rFonts w:ascii="Times New Roman" w:hAnsi="Times New Roman" w:cs="Times New Roman"/>
          <w:sz w:val="24"/>
          <w:szCs w:val="24"/>
        </w:rPr>
        <w:t xml:space="preserve"> </w:t>
      </w:r>
      <w:r w:rsidRPr="00C0186C">
        <w:rPr>
          <w:rFonts w:ascii="Times New Roman" w:hAnsi="Times New Roman" w:cs="Times New Roman"/>
          <w:sz w:val="24"/>
          <w:szCs w:val="24"/>
        </w:rPr>
        <w:t>mjere</w:t>
      </w:r>
      <w:r w:rsidR="00005AC0" w:rsidRPr="00C0186C">
        <w:rPr>
          <w:rFonts w:ascii="Times New Roman" w:hAnsi="Times New Roman" w:cs="Times New Roman"/>
          <w:sz w:val="24"/>
          <w:szCs w:val="24"/>
        </w:rPr>
        <w:t xml:space="preserve"> za poticanje</w:t>
      </w:r>
      <w:r w:rsidRPr="00C0186C">
        <w:rPr>
          <w:rFonts w:ascii="Times New Roman" w:hAnsi="Times New Roman" w:cs="Times New Roman"/>
          <w:sz w:val="24"/>
          <w:szCs w:val="24"/>
        </w:rPr>
        <w:t xml:space="preserve"> razv</w:t>
      </w:r>
      <w:r w:rsidR="00005AC0" w:rsidRPr="00C0186C">
        <w:rPr>
          <w:rFonts w:ascii="Times New Roman" w:hAnsi="Times New Roman" w:cs="Times New Roman"/>
          <w:sz w:val="24"/>
          <w:szCs w:val="24"/>
        </w:rPr>
        <w:t>o</w:t>
      </w:r>
      <w:r w:rsidRPr="00C0186C">
        <w:rPr>
          <w:rFonts w:ascii="Times New Roman" w:hAnsi="Times New Roman" w:cs="Times New Roman"/>
          <w:sz w:val="24"/>
          <w:szCs w:val="24"/>
        </w:rPr>
        <w:t>ja PP</w:t>
      </w:r>
      <w:r w:rsidR="008955BE" w:rsidRPr="00C0186C">
        <w:rPr>
          <w:rFonts w:ascii="Times New Roman" w:hAnsi="Times New Roman" w:cs="Times New Roman"/>
          <w:sz w:val="24"/>
          <w:szCs w:val="24"/>
        </w:rPr>
        <w:t>-a u</w:t>
      </w:r>
      <w:r w:rsidRPr="00C0186C">
        <w:rPr>
          <w:rFonts w:ascii="Times New Roman" w:hAnsi="Times New Roman" w:cs="Times New Roman"/>
          <w:sz w:val="24"/>
          <w:szCs w:val="24"/>
        </w:rPr>
        <w:t xml:space="preserve"> </w:t>
      </w:r>
      <w:r w:rsidR="00005AC0" w:rsidRPr="00C0186C">
        <w:rPr>
          <w:rFonts w:ascii="Times New Roman" w:hAnsi="Times New Roman" w:cs="Times New Roman"/>
          <w:sz w:val="24"/>
          <w:szCs w:val="24"/>
        </w:rPr>
        <w:t xml:space="preserve">razdoblju od </w:t>
      </w:r>
      <w:r w:rsidR="00B862E1" w:rsidRPr="00C0186C">
        <w:rPr>
          <w:rFonts w:ascii="Times New Roman" w:hAnsi="Times New Roman" w:cs="Times New Roman"/>
          <w:sz w:val="24"/>
          <w:szCs w:val="24"/>
        </w:rPr>
        <w:t>202</w:t>
      </w:r>
      <w:r w:rsidR="00A759C0">
        <w:rPr>
          <w:rFonts w:ascii="Times New Roman" w:hAnsi="Times New Roman" w:cs="Times New Roman"/>
          <w:sz w:val="24"/>
          <w:szCs w:val="24"/>
        </w:rPr>
        <w:t>2</w:t>
      </w:r>
      <w:r w:rsidR="00B862E1" w:rsidRPr="00C0186C">
        <w:rPr>
          <w:rFonts w:ascii="Times New Roman" w:hAnsi="Times New Roman" w:cs="Times New Roman"/>
          <w:sz w:val="24"/>
          <w:szCs w:val="24"/>
        </w:rPr>
        <w:t>. do 202</w:t>
      </w:r>
      <w:r w:rsidR="00A759C0">
        <w:rPr>
          <w:rFonts w:ascii="Times New Roman" w:hAnsi="Times New Roman" w:cs="Times New Roman"/>
          <w:sz w:val="24"/>
          <w:szCs w:val="24"/>
        </w:rPr>
        <w:t>5</w:t>
      </w:r>
      <w:r w:rsidR="00B862E1" w:rsidRPr="00C0186C">
        <w:rPr>
          <w:rFonts w:ascii="Times New Roman" w:hAnsi="Times New Roman" w:cs="Times New Roman"/>
          <w:sz w:val="24"/>
          <w:szCs w:val="24"/>
        </w:rPr>
        <w:t>.</w:t>
      </w:r>
      <w:r w:rsidR="00005AC0" w:rsidRPr="00C0186C">
        <w:rPr>
          <w:rFonts w:ascii="Times New Roman" w:hAnsi="Times New Roman" w:cs="Times New Roman"/>
          <w:sz w:val="24"/>
          <w:szCs w:val="24"/>
        </w:rPr>
        <w:t xml:space="preserve"> primarno budu usmjerene na </w:t>
      </w:r>
      <w:r w:rsidR="00005AC0" w:rsidRPr="00C0186C">
        <w:rPr>
          <w:rFonts w:ascii="Times New Roman" w:hAnsi="Times New Roman" w:cs="Times New Roman"/>
          <w:b/>
          <w:i/>
          <w:sz w:val="24"/>
          <w:szCs w:val="24"/>
        </w:rPr>
        <w:t xml:space="preserve">kreiranje pretpostavki i uvjeta za značajno povećanje zaposlenosti </w:t>
      </w:r>
      <w:r w:rsidR="00211413" w:rsidRPr="00C0186C">
        <w:rPr>
          <w:rFonts w:ascii="Times New Roman" w:hAnsi="Times New Roman" w:cs="Times New Roman"/>
          <w:b/>
          <w:i/>
          <w:sz w:val="24"/>
          <w:szCs w:val="24"/>
        </w:rPr>
        <w:t xml:space="preserve">i dohotka </w:t>
      </w:r>
      <w:r w:rsidR="005B5F52" w:rsidRPr="00C0186C">
        <w:rPr>
          <w:rFonts w:ascii="Times New Roman" w:hAnsi="Times New Roman" w:cs="Times New Roman"/>
          <w:b/>
          <w:i/>
          <w:sz w:val="24"/>
          <w:szCs w:val="24"/>
        </w:rPr>
        <w:t xml:space="preserve">te zaustavljanje i </w:t>
      </w:r>
      <w:r w:rsidR="00005AC0" w:rsidRPr="00C0186C">
        <w:rPr>
          <w:rFonts w:ascii="Times New Roman" w:hAnsi="Times New Roman" w:cs="Times New Roman"/>
          <w:b/>
          <w:i/>
          <w:sz w:val="24"/>
          <w:szCs w:val="24"/>
        </w:rPr>
        <w:t xml:space="preserve">preokretanje negativnih demografskih </w:t>
      </w:r>
      <w:r w:rsidR="005B5F52" w:rsidRPr="00C0186C">
        <w:rPr>
          <w:rFonts w:ascii="Times New Roman" w:hAnsi="Times New Roman" w:cs="Times New Roman"/>
          <w:b/>
          <w:i/>
          <w:sz w:val="24"/>
          <w:szCs w:val="24"/>
        </w:rPr>
        <w:t>trendova</w:t>
      </w:r>
      <w:r w:rsidR="00005AC0" w:rsidRPr="00C0186C">
        <w:rPr>
          <w:rFonts w:ascii="Times New Roman" w:hAnsi="Times New Roman" w:cs="Times New Roman"/>
          <w:b/>
          <w:i/>
          <w:sz w:val="24"/>
          <w:szCs w:val="24"/>
        </w:rPr>
        <w:t xml:space="preserve"> </w:t>
      </w:r>
      <w:r w:rsidR="005B5F52" w:rsidRPr="00C0186C">
        <w:rPr>
          <w:rFonts w:ascii="Times New Roman" w:hAnsi="Times New Roman" w:cs="Times New Roman"/>
          <w:b/>
          <w:i/>
          <w:sz w:val="24"/>
          <w:szCs w:val="24"/>
        </w:rPr>
        <w:t xml:space="preserve">u </w:t>
      </w:r>
      <w:r w:rsidR="007038CF" w:rsidRPr="00C0186C">
        <w:rPr>
          <w:rFonts w:ascii="Times New Roman" w:hAnsi="Times New Roman" w:cs="Times New Roman"/>
          <w:b/>
          <w:i/>
          <w:sz w:val="24"/>
          <w:szCs w:val="24"/>
        </w:rPr>
        <w:t>JLS</w:t>
      </w:r>
      <w:r w:rsidR="008955BE" w:rsidRPr="00C0186C">
        <w:rPr>
          <w:rFonts w:ascii="Times New Roman" w:hAnsi="Times New Roman" w:cs="Times New Roman"/>
          <w:b/>
          <w:i/>
          <w:sz w:val="24"/>
          <w:szCs w:val="24"/>
        </w:rPr>
        <w:t>-ovima</w:t>
      </w:r>
      <w:r w:rsidR="00005AC0" w:rsidRPr="00C0186C">
        <w:rPr>
          <w:rFonts w:ascii="Times New Roman" w:hAnsi="Times New Roman" w:cs="Times New Roman"/>
          <w:b/>
          <w:i/>
          <w:sz w:val="24"/>
          <w:szCs w:val="24"/>
        </w:rPr>
        <w:t xml:space="preserve"> sa statusom potpomognutih područja</w:t>
      </w:r>
      <w:r w:rsidR="005B5F52" w:rsidRPr="00C0186C">
        <w:rPr>
          <w:rFonts w:ascii="Times New Roman" w:hAnsi="Times New Roman" w:cs="Times New Roman"/>
          <w:b/>
          <w:i/>
          <w:sz w:val="24"/>
          <w:szCs w:val="24"/>
        </w:rPr>
        <w:t xml:space="preserve">. </w:t>
      </w:r>
      <w:r w:rsidR="00AB6396" w:rsidRPr="00C0186C">
        <w:rPr>
          <w:rFonts w:ascii="Times New Roman" w:hAnsi="Times New Roman" w:cs="Times New Roman"/>
          <w:sz w:val="24"/>
          <w:szCs w:val="24"/>
        </w:rPr>
        <w:t>Sukladno tome, u sljedećoj tablici definirani su strateški ciljevi Programa.</w:t>
      </w:r>
    </w:p>
    <w:p w14:paraId="46FD4919" w14:textId="0E3F202E" w:rsidR="00C618C1" w:rsidRDefault="00C618C1" w:rsidP="00B70EE8">
      <w:pPr>
        <w:spacing w:before="0" w:after="0"/>
        <w:jc w:val="both"/>
        <w:rPr>
          <w:rFonts w:ascii="Times New Roman" w:hAnsi="Times New Roman" w:cs="Times New Roman"/>
          <w:sz w:val="24"/>
          <w:szCs w:val="24"/>
        </w:rPr>
      </w:pPr>
    </w:p>
    <w:p w14:paraId="26C24693" w14:textId="7BB5F183" w:rsidR="00567391" w:rsidRDefault="00567391" w:rsidP="00B70EE8">
      <w:pPr>
        <w:spacing w:before="0" w:after="0"/>
        <w:jc w:val="both"/>
        <w:rPr>
          <w:rFonts w:ascii="Times New Roman" w:hAnsi="Times New Roman" w:cs="Times New Roman"/>
          <w:sz w:val="24"/>
          <w:szCs w:val="24"/>
        </w:rPr>
      </w:pPr>
    </w:p>
    <w:p w14:paraId="0DFF2880" w14:textId="01BFABAD" w:rsidR="00DF5007" w:rsidRDefault="00DF5007" w:rsidP="00B70EE8">
      <w:pPr>
        <w:spacing w:before="0" w:after="0"/>
        <w:jc w:val="both"/>
        <w:rPr>
          <w:rFonts w:ascii="Times New Roman" w:hAnsi="Times New Roman" w:cs="Times New Roman"/>
          <w:sz w:val="24"/>
          <w:szCs w:val="24"/>
        </w:rPr>
      </w:pPr>
    </w:p>
    <w:p w14:paraId="3129C000" w14:textId="77777777" w:rsidR="00DF5007" w:rsidRDefault="00DF5007" w:rsidP="00B70EE8">
      <w:pPr>
        <w:spacing w:before="0" w:after="0"/>
        <w:jc w:val="both"/>
        <w:rPr>
          <w:rFonts w:ascii="Times New Roman" w:hAnsi="Times New Roman" w:cs="Times New Roman"/>
          <w:sz w:val="24"/>
          <w:szCs w:val="24"/>
        </w:rPr>
      </w:pPr>
    </w:p>
    <w:p w14:paraId="02F1A298" w14:textId="77777777" w:rsidR="00567391" w:rsidRPr="00C0186C" w:rsidRDefault="00567391" w:rsidP="00B70EE8">
      <w:pPr>
        <w:spacing w:before="0" w:after="0"/>
        <w:jc w:val="both"/>
        <w:rPr>
          <w:rFonts w:ascii="Times New Roman" w:hAnsi="Times New Roman" w:cs="Times New Roman"/>
          <w:sz w:val="24"/>
          <w:szCs w:val="24"/>
        </w:rPr>
      </w:pPr>
    </w:p>
    <w:p w14:paraId="75606900" w14:textId="76F35DB5" w:rsidR="002E789D" w:rsidRPr="00DF5007" w:rsidRDefault="00172FDD" w:rsidP="00B70EE8">
      <w:pPr>
        <w:spacing w:before="0" w:after="120"/>
        <w:jc w:val="both"/>
        <w:rPr>
          <w:rFonts w:ascii="Times New Roman" w:hAnsi="Times New Roman" w:cs="Times New Roman"/>
          <w:sz w:val="22"/>
          <w:szCs w:val="22"/>
        </w:rPr>
      </w:pPr>
      <w:r w:rsidRPr="00DF5007">
        <w:rPr>
          <w:rFonts w:ascii="Times New Roman" w:hAnsi="Times New Roman" w:cs="Times New Roman"/>
          <w:b/>
          <w:bCs/>
          <w:sz w:val="22"/>
          <w:szCs w:val="22"/>
        </w:rPr>
        <w:t>Tablica 4</w:t>
      </w:r>
      <w:r w:rsidR="00C618C1" w:rsidRPr="00DF5007">
        <w:rPr>
          <w:rFonts w:ascii="Times New Roman" w:hAnsi="Times New Roman" w:cs="Times New Roman"/>
          <w:sz w:val="22"/>
          <w:szCs w:val="22"/>
        </w:rPr>
        <w:t>. Ciljevi Programa održivog društvenog i gospodarskog razvoja potpomognutih područja 202</w:t>
      </w:r>
      <w:r w:rsidR="00A759C0">
        <w:rPr>
          <w:rFonts w:ascii="Times New Roman" w:hAnsi="Times New Roman" w:cs="Times New Roman"/>
          <w:sz w:val="22"/>
          <w:szCs w:val="22"/>
        </w:rPr>
        <w:t>2</w:t>
      </w:r>
      <w:r w:rsidR="00C618C1" w:rsidRPr="00DF5007">
        <w:rPr>
          <w:rFonts w:ascii="Times New Roman" w:hAnsi="Times New Roman" w:cs="Times New Roman"/>
          <w:sz w:val="22"/>
          <w:szCs w:val="22"/>
        </w:rPr>
        <w:t>.-202</w:t>
      </w:r>
      <w:r w:rsidR="00A759C0">
        <w:rPr>
          <w:rFonts w:ascii="Times New Roman" w:hAnsi="Times New Roman" w:cs="Times New Roman"/>
          <w:sz w:val="22"/>
          <w:szCs w:val="22"/>
        </w:rPr>
        <w:t>5</w:t>
      </w:r>
      <w:r w:rsidR="00C618C1" w:rsidRPr="00DF5007">
        <w:rPr>
          <w:rFonts w:ascii="Times New Roman" w:hAnsi="Times New Roman" w:cs="Times New Roman"/>
          <w:sz w:val="22"/>
          <w:szCs w:val="22"/>
        </w:rPr>
        <w:t>.</w:t>
      </w:r>
    </w:p>
    <w:tbl>
      <w:tblPr>
        <w:tblStyle w:val="ListTable4-Accent1"/>
        <w:tblW w:w="9067" w:type="dxa"/>
        <w:jc w:val="center"/>
        <w:tblLook w:val="04A0" w:firstRow="1" w:lastRow="0" w:firstColumn="1" w:lastColumn="0" w:noHBand="0" w:noVBand="1"/>
      </w:tblPr>
      <w:tblGrid>
        <w:gridCol w:w="1707"/>
        <w:gridCol w:w="7360"/>
      </w:tblGrid>
      <w:tr w:rsidR="00C31039" w:rsidRPr="00FE24A5" w14:paraId="6959F23D" w14:textId="77777777" w:rsidTr="003F2B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7" w:type="dxa"/>
            <w:shd w:val="clear" w:color="auto" w:fill="DEEAF6" w:themeFill="accent1" w:themeFillTint="33"/>
          </w:tcPr>
          <w:p w14:paraId="460C435A" w14:textId="77777777" w:rsidR="00C31039" w:rsidRPr="00D22350" w:rsidRDefault="00C31039" w:rsidP="00D7213E">
            <w:pPr>
              <w:spacing w:line="360" w:lineRule="auto"/>
              <w:jc w:val="both"/>
              <w:rPr>
                <w:rFonts w:ascii="Times New Roman" w:hAnsi="Times New Roman" w:cs="Times New Roman"/>
                <w:b w:val="0"/>
                <w:bCs w:val="0"/>
                <w:color w:val="auto"/>
                <w:sz w:val="24"/>
                <w:szCs w:val="24"/>
              </w:rPr>
            </w:pPr>
            <w:r w:rsidRPr="00D22350">
              <w:rPr>
                <w:rFonts w:ascii="Times New Roman" w:hAnsi="Times New Roman" w:cs="Times New Roman"/>
                <w:color w:val="auto"/>
                <w:sz w:val="24"/>
                <w:szCs w:val="24"/>
              </w:rPr>
              <w:t>CILJ 1.</w:t>
            </w:r>
          </w:p>
        </w:tc>
        <w:tc>
          <w:tcPr>
            <w:tcW w:w="7360" w:type="dxa"/>
            <w:shd w:val="clear" w:color="auto" w:fill="DEEAF6" w:themeFill="accent1" w:themeFillTint="33"/>
          </w:tcPr>
          <w:p w14:paraId="5F80C031" w14:textId="77777777" w:rsidR="00C31039" w:rsidRPr="00D22350" w:rsidRDefault="00C31039" w:rsidP="00D7213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D22350">
              <w:rPr>
                <w:rFonts w:ascii="Times New Roman" w:hAnsi="Times New Roman" w:cs="Times New Roman"/>
                <w:color w:val="auto"/>
                <w:sz w:val="24"/>
                <w:szCs w:val="24"/>
              </w:rPr>
              <w:t>POVEĆANJE ZAPOSLENOSTI I DOHOTKA</w:t>
            </w:r>
          </w:p>
        </w:tc>
      </w:tr>
      <w:tr w:rsidR="00C31039" w:rsidRPr="00FE24A5" w14:paraId="1E45956E" w14:textId="77777777" w:rsidTr="003F2B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7" w:type="dxa"/>
          </w:tcPr>
          <w:p w14:paraId="3AAEF137" w14:textId="77777777" w:rsidR="00C31039" w:rsidRPr="00FE24A5" w:rsidRDefault="00C31039" w:rsidP="00D7213E">
            <w:pPr>
              <w:spacing w:line="360" w:lineRule="auto"/>
              <w:jc w:val="both"/>
              <w:rPr>
                <w:rFonts w:ascii="Times New Roman" w:hAnsi="Times New Roman" w:cs="Times New Roman"/>
                <w:b w:val="0"/>
                <w:bCs w:val="0"/>
                <w:sz w:val="24"/>
                <w:szCs w:val="24"/>
              </w:rPr>
            </w:pPr>
            <w:r w:rsidRPr="00FE24A5">
              <w:rPr>
                <w:rFonts w:ascii="Times New Roman" w:hAnsi="Times New Roman" w:cs="Times New Roman"/>
                <w:sz w:val="24"/>
                <w:szCs w:val="24"/>
              </w:rPr>
              <w:t>CILJ 2.</w:t>
            </w:r>
          </w:p>
        </w:tc>
        <w:tc>
          <w:tcPr>
            <w:tcW w:w="7360" w:type="dxa"/>
          </w:tcPr>
          <w:p w14:paraId="6468A9C3" w14:textId="77777777" w:rsidR="00C31039" w:rsidRPr="00FE24A5" w:rsidRDefault="00C31039" w:rsidP="00D721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E24A5">
              <w:rPr>
                <w:rFonts w:ascii="Times New Roman" w:hAnsi="Times New Roman" w:cs="Times New Roman"/>
                <w:b/>
                <w:bCs/>
                <w:sz w:val="24"/>
                <w:szCs w:val="24"/>
              </w:rPr>
              <w:t xml:space="preserve">DEMOGRAFSKA REVITALIZACIJA </w:t>
            </w:r>
          </w:p>
        </w:tc>
      </w:tr>
    </w:tbl>
    <w:p w14:paraId="32BE5BC2" w14:textId="77D00705" w:rsidR="00467AB1" w:rsidRPr="00C0186C" w:rsidRDefault="00467AB1" w:rsidP="00C31039">
      <w:pPr>
        <w:spacing w:before="0" w:after="0"/>
        <w:jc w:val="both"/>
        <w:rPr>
          <w:rFonts w:ascii="Times New Roman" w:hAnsi="Times New Roman" w:cs="Times New Roman"/>
          <w:sz w:val="24"/>
          <w:szCs w:val="24"/>
        </w:rPr>
      </w:pPr>
    </w:p>
    <w:p w14:paraId="4BD2DD45" w14:textId="145A6D7D" w:rsidR="009E1C23" w:rsidRPr="00C0186C" w:rsidRDefault="003252A0"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Budući da r</w:t>
      </w:r>
      <w:r w:rsidR="00C00676" w:rsidRPr="00C0186C">
        <w:rPr>
          <w:rFonts w:ascii="Times New Roman" w:hAnsi="Times New Roman" w:cs="Times New Roman"/>
          <w:sz w:val="24"/>
          <w:szCs w:val="24"/>
        </w:rPr>
        <w:t xml:space="preserve">ezultati </w:t>
      </w:r>
      <w:r w:rsidRPr="00C0186C">
        <w:rPr>
          <w:rFonts w:ascii="Times New Roman" w:hAnsi="Times New Roman" w:cs="Times New Roman"/>
          <w:sz w:val="24"/>
          <w:szCs w:val="24"/>
        </w:rPr>
        <w:t>analitičkih podloga</w:t>
      </w:r>
      <w:r w:rsidR="002D314F" w:rsidRPr="00C0186C">
        <w:rPr>
          <w:rFonts w:ascii="Times New Roman" w:hAnsi="Times New Roman" w:cs="Times New Roman"/>
          <w:sz w:val="24"/>
          <w:szCs w:val="24"/>
        </w:rPr>
        <w:t xml:space="preserve"> </w:t>
      </w:r>
      <w:r w:rsidR="00A90CEB" w:rsidRPr="00C0186C">
        <w:rPr>
          <w:rFonts w:ascii="Times New Roman" w:hAnsi="Times New Roman" w:cs="Times New Roman"/>
          <w:sz w:val="24"/>
          <w:szCs w:val="24"/>
        </w:rPr>
        <w:t>ukazuju na</w:t>
      </w:r>
      <w:r w:rsidR="00C00676" w:rsidRPr="00C0186C">
        <w:rPr>
          <w:rFonts w:ascii="Times New Roman" w:hAnsi="Times New Roman" w:cs="Times New Roman"/>
          <w:sz w:val="24"/>
          <w:szCs w:val="24"/>
        </w:rPr>
        <w:t xml:space="preserve"> usku međuovisnost</w:t>
      </w:r>
      <w:r w:rsidR="00A90CEB" w:rsidRPr="00C0186C">
        <w:rPr>
          <w:rFonts w:ascii="Times New Roman" w:hAnsi="Times New Roman" w:cs="Times New Roman"/>
          <w:sz w:val="24"/>
          <w:szCs w:val="24"/>
        </w:rPr>
        <w:t xml:space="preserve"> između demografskih kretanja</w:t>
      </w:r>
      <w:r w:rsidR="00E2266B" w:rsidRPr="00C0186C">
        <w:rPr>
          <w:rFonts w:ascii="Times New Roman" w:hAnsi="Times New Roman" w:cs="Times New Roman"/>
          <w:sz w:val="24"/>
          <w:szCs w:val="24"/>
        </w:rPr>
        <w:t>,</w:t>
      </w:r>
      <w:r w:rsidR="00A90CEB" w:rsidRPr="00C0186C">
        <w:rPr>
          <w:rFonts w:ascii="Times New Roman" w:hAnsi="Times New Roman" w:cs="Times New Roman"/>
          <w:sz w:val="24"/>
          <w:szCs w:val="24"/>
        </w:rPr>
        <w:t xml:space="preserve"> kretanja na tržištu rada</w:t>
      </w:r>
      <w:r w:rsidR="00E2266B" w:rsidRPr="00C0186C">
        <w:rPr>
          <w:rFonts w:ascii="Times New Roman" w:hAnsi="Times New Roman" w:cs="Times New Roman"/>
          <w:sz w:val="24"/>
          <w:szCs w:val="24"/>
        </w:rPr>
        <w:t xml:space="preserve"> i dostignute razine prosječnog dohotka </w:t>
      </w:r>
      <w:r w:rsidR="002D314F" w:rsidRPr="00C0186C">
        <w:rPr>
          <w:rFonts w:ascii="Times New Roman" w:hAnsi="Times New Roman" w:cs="Times New Roman"/>
          <w:sz w:val="24"/>
          <w:szCs w:val="24"/>
        </w:rPr>
        <w:t>u PP</w:t>
      </w:r>
      <w:r w:rsidR="0042063A">
        <w:rPr>
          <w:rFonts w:ascii="Times New Roman" w:hAnsi="Times New Roman" w:cs="Times New Roman"/>
          <w:sz w:val="24"/>
          <w:szCs w:val="24"/>
        </w:rPr>
        <w:t>-u</w:t>
      </w:r>
      <w:r w:rsidR="00A90CEB" w:rsidRPr="00C0186C">
        <w:rPr>
          <w:rFonts w:ascii="Times New Roman" w:hAnsi="Times New Roman" w:cs="Times New Roman"/>
          <w:sz w:val="24"/>
          <w:szCs w:val="24"/>
        </w:rPr>
        <w:t xml:space="preserve">, povećanje zaposlenosti i </w:t>
      </w:r>
      <w:r w:rsidRPr="00C0186C">
        <w:rPr>
          <w:rFonts w:ascii="Times New Roman" w:hAnsi="Times New Roman" w:cs="Times New Roman"/>
          <w:sz w:val="24"/>
          <w:szCs w:val="24"/>
        </w:rPr>
        <w:t xml:space="preserve">dohotka </w:t>
      </w:r>
      <w:r w:rsidR="00211413" w:rsidRPr="00C0186C">
        <w:rPr>
          <w:rFonts w:ascii="Times New Roman" w:hAnsi="Times New Roman" w:cs="Times New Roman"/>
          <w:sz w:val="24"/>
          <w:szCs w:val="24"/>
        </w:rPr>
        <w:t xml:space="preserve">uz </w:t>
      </w:r>
      <w:r w:rsidR="00A90CEB" w:rsidRPr="00C0186C">
        <w:rPr>
          <w:rFonts w:ascii="Times New Roman" w:hAnsi="Times New Roman" w:cs="Times New Roman"/>
          <w:sz w:val="24"/>
          <w:szCs w:val="24"/>
        </w:rPr>
        <w:t>demografsk</w:t>
      </w:r>
      <w:r w:rsidR="00211413" w:rsidRPr="00C0186C">
        <w:rPr>
          <w:rFonts w:ascii="Times New Roman" w:hAnsi="Times New Roman" w:cs="Times New Roman"/>
          <w:sz w:val="24"/>
          <w:szCs w:val="24"/>
        </w:rPr>
        <w:t>u</w:t>
      </w:r>
      <w:r w:rsidR="00EF2375" w:rsidRPr="00C0186C">
        <w:rPr>
          <w:rFonts w:ascii="Times New Roman" w:hAnsi="Times New Roman" w:cs="Times New Roman"/>
          <w:sz w:val="24"/>
          <w:szCs w:val="24"/>
        </w:rPr>
        <w:t xml:space="preserve"> revitalizacija</w:t>
      </w:r>
      <w:r w:rsidR="00A90CEB" w:rsidRPr="00C0186C">
        <w:rPr>
          <w:rFonts w:ascii="Times New Roman" w:hAnsi="Times New Roman" w:cs="Times New Roman"/>
          <w:sz w:val="24"/>
          <w:szCs w:val="24"/>
        </w:rPr>
        <w:t xml:space="preserve"> </w:t>
      </w:r>
      <w:r w:rsidRPr="00C0186C">
        <w:rPr>
          <w:rFonts w:ascii="Times New Roman" w:hAnsi="Times New Roman" w:cs="Times New Roman"/>
          <w:sz w:val="24"/>
          <w:szCs w:val="24"/>
        </w:rPr>
        <w:t xml:space="preserve">ističu se kao očiti i opravdani </w:t>
      </w:r>
      <w:r w:rsidR="00A90CEB" w:rsidRPr="00C0186C">
        <w:rPr>
          <w:rFonts w:ascii="Times New Roman" w:hAnsi="Times New Roman" w:cs="Times New Roman"/>
          <w:sz w:val="24"/>
          <w:szCs w:val="24"/>
        </w:rPr>
        <w:t xml:space="preserve">ciljevi </w:t>
      </w:r>
      <w:r w:rsidR="00E2266B" w:rsidRPr="00C0186C">
        <w:rPr>
          <w:rFonts w:ascii="Times New Roman" w:hAnsi="Times New Roman" w:cs="Times New Roman"/>
          <w:sz w:val="24"/>
          <w:szCs w:val="24"/>
        </w:rPr>
        <w:t xml:space="preserve">postizanja </w:t>
      </w:r>
      <w:r w:rsidRPr="00C0186C">
        <w:rPr>
          <w:rFonts w:ascii="Times New Roman" w:hAnsi="Times New Roman" w:cs="Times New Roman"/>
          <w:sz w:val="24"/>
          <w:szCs w:val="24"/>
        </w:rPr>
        <w:t>održivog društvenog i gospodarskog</w:t>
      </w:r>
      <w:r w:rsidR="00A90CEB" w:rsidRPr="00C0186C">
        <w:rPr>
          <w:rFonts w:ascii="Times New Roman" w:hAnsi="Times New Roman" w:cs="Times New Roman"/>
          <w:sz w:val="24"/>
          <w:szCs w:val="24"/>
        </w:rPr>
        <w:t xml:space="preserve"> razvoja PP</w:t>
      </w:r>
      <w:r w:rsidR="0042063A">
        <w:rPr>
          <w:rFonts w:ascii="Times New Roman" w:hAnsi="Times New Roman" w:cs="Times New Roman"/>
          <w:sz w:val="24"/>
          <w:szCs w:val="24"/>
        </w:rPr>
        <w:t>-a</w:t>
      </w:r>
      <w:r w:rsidR="00A90CEB" w:rsidRPr="00C0186C">
        <w:rPr>
          <w:rFonts w:ascii="Times New Roman" w:hAnsi="Times New Roman" w:cs="Times New Roman"/>
          <w:sz w:val="24"/>
          <w:szCs w:val="24"/>
        </w:rPr>
        <w:t xml:space="preserve">. </w:t>
      </w:r>
      <w:r w:rsidRPr="00C0186C">
        <w:rPr>
          <w:rFonts w:ascii="Times New Roman" w:hAnsi="Times New Roman" w:cs="Times New Roman"/>
          <w:sz w:val="24"/>
          <w:szCs w:val="24"/>
        </w:rPr>
        <w:t>I</w:t>
      </w:r>
      <w:r w:rsidR="00EF2375" w:rsidRPr="00C0186C">
        <w:rPr>
          <w:rFonts w:ascii="Times New Roman" w:hAnsi="Times New Roman" w:cs="Times New Roman"/>
          <w:sz w:val="24"/>
          <w:szCs w:val="24"/>
        </w:rPr>
        <w:t xml:space="preserve">ako su </w:t>
      </w:r>
      <w:r w:rsidRPr="00C0186C">
        <w:rPr>
          <w:rFonts w:ascii="Times New Roman" w:hAnsi="Times New Roman" w:cs="Times New Roman"/>
          <w:sz w:val="24"/>
          <w:szCs w:val="24"/>
        </w:rPr>
        <w:t xml:space="preserve">svi </w:t>
      </w:r>
      <w:r w:rsidR="00EF2375" w:rsidRPr="00C0186C">
        <w:rPr>
          <w:rFonts w:ascii="Times New Roman" w:hAnsi="Times New Roman" w:cs="Times New Roman"/>
          <w:sz w:val="24"/>
          <w:szCs w:val="24"/>
        </w:rPr>
        <w:t>dosadašnji programi i mjere</w:t>
      </w:r>
      <w:r w:rsidRPr="00C0186C">
        <w:rPr>
          <w:rFonts w:ascii="Times New Roman" w:hAnsi="Times New Roman" w:cs="Times New Roman"/>
          <w:sz w:val="24"/>
          <w:szCs w:val="24"/>
        </w:rPr>
        <w:t xml:space="preserve"> poticanja razvoja </w:t>
      </w:r>
      <w:r w:rsidR="008955BE" w:rsidRPr="00C0186C">
        <w:rPr>
          <w:rFonts w:ascii="Times New Roman" w:hAnsi="Times New Roman" w:cs="Times New Roman"/>
          <w:sz w:val="24"/>
          <w:szCs w:val="24"/>
        </w:rPr>
        <w:t>potpomognutih područja</w:t>
      </w:r>
      <w:r w:rsidRPr="00C0186C">
        <w:rPr>
          <w:rFonts w:ascii="Times New Roman" w:hAnsi="Times New Roman" w:cs="Times New Roman"/>
          <w:sz w:val="24"/>
          <w:szCs w:val="24"/>
        </w:rPr>
        <w:t xml:space="preserve"> </w:t>
      </w:r>
      <w:r w:rsidR="00EF2375" w:rsidRPr="00C0186C">
        <w:rPr>
          <w:rFonts w:ascii="Times New Roman" w:hAnsi="Times New Roman" w:cs="Times New Roman"/>
          <w:sz w:val="24"/>
          <w:szCs w:val="24"/>
        </w:rPr>
        <w:t xml:space="preserve">izravno ili neizravno </w:t>
      </w:r>
      <w:r w:rsidR="001B6EC1" w:rsidRPr="00C0186C">
        <w:rPr>
          <w:rFonts w:ascii="Times New Roman" w:hAnsi="Times New Roman" w:cs="Times New Roman"/>
          <w:sz w:val="24"/>
          <w:szCs w:val="24"/>
        </w:rPr>
        <w:t xml:space="preserve">bili </w:t>
      </w:r>
      <w:r w:rsidR="00EF2375" w:rsidRPr="00C0186C">
        <w:rPr>
          <w:rFonts w:ascii="Times New Roman" w:hAnsi="Times New Roman" w:cs="Times New Roman"/>
          <w:sz w:val="24"/>
          <w:szCs w:val="24"/>
        </w:rPr>
        <w:t xml:space="preserve">u funkciji </w:t>
      </w:r>
      <w:r w:rsidR="001B6EC1" w:rsidRPr="00C0186C">
        <w:rPr>
          <w:rFonts w:ascii="Times New Roman" w:hAnsi="Times New Roman" w:cs="Times New Roman"/>
          <w:sz w:val="24"/>
          <w:szCs w:val="24"/>
        </w:rPr>
        <w:t>njihova ostvarenja</w:t>
      </w:r>
      <w:r w:rsidR="00E2266B" w:rsidRPr="00C0186C">
        <w:rPr>
          <w:rFonts w:ascii="Times New Roman" w:hAnsi="Times New Roman" w:cs="Times New Roman"/>
          <w:sz w:val="24"/>
          <w:szCs w:val="24"/>
        </w:rPr>
        <w:t xml:space="preserve">, </w:t>
      </w:r>
      <w:r w:rsidR="00EF2375" w:rsidRPr="00C0186C">
        <w:rPr>
          <w:rFonts w:ascii="Times New Roman" w:hAnsi="Times New Roman" w:cs="Times New Roman"/>
          <w:sz w:val="24"/>
          <w:szCs w:val="24"/>
        </w:rPr>
        <w:t xml:space="preserve">može se ustvrditi </w:t>
      </w:r>
      <w:r w:rsidR="00E2266B" w:rsidRPr="00C0186C">
        <w:rPr>
          <w:rFonts w:ascii="Times New Roman" w:hAnsi="Times New Roman" w:cs="Times New Roman"/>
          <w:sz w:val="24"/>
          <w:szCs w:val="24"/>
        </w:rPr>
        <w:t xml:space="preserve">kako </w:t>
      </w:r>
      <w:r w:rsidR="00211413" w:rsidRPr="00C0186C">
        <w:rPr>
          <w:rFonts w:ascii="Times New Roman" w:hAnsi="Times New Roman" w:cs="Times New Roman"/>
          <w:sz w:val="24"/>
          <w:szCs w:val="24"/>
        </w:rPr>
        <w:t>načini</w:t>
      </w:r>
      <w:r w:rsidR="001B6EC1" w:rsidRPr="00C0186C">
        <w:rPr>
          <w:rFonts w:ascii="Times New Roman" w:hAnsi="Times New Roman" w:cs="Times New Roman"/>
          <w:sz w:val="24"/>
          <w:szCs w:val="24"/>
        </w:rPr>
        <w:t xml:space="preserve"> i pristupi</w:t>
      </w:r>
      <w:r w:rsidR="00211413" w:rsidRPr="00C0186C">
        <w:rPr>
          <w:rFonts w:ascii="Times New Roman" w:hAnsi="Times New Roman" w:cs="Times New Roman"/>
          <w:sz w:val="24"/>
          <w:szCs w:val="24"/>
        </w:rPr>
        <w:t xml:space="preserve"> njihov</w:t>
      </w:r>
      <w:r w:rsidR="001B6EC1" w:rsidRPr="00C0186C">
        <w:rPr>
          <w:rFonts w:ascii="Times New Roman" w:hAnsi="Times New Roman" w:cs="Times New Roman"/>
          <w:sz w:val="24"/>
          <w:szCs w:val="24"/>
        </w:rPr>
        <w:t>e</w:t>
      </w:r>
      <w:r w:rsidR="00211413" w:rsidRPr="00C0186C">
        <w:rPr>
          <w:rFonts w:ascii="Times New Roman" w:hAnsi="Times New Roman" w:cs="Times New Roman"/>
          <w:sz w:val="24"/>
          <w:szCs w:val="24"/>
        </w:rPr>
        <w:t xml:space="preserve"> </w:t>
      </w:r>
      <w:r w:rsidR="001B6EC1" w:rsidRPr="00C0186C">
        <w:rPr>
          <w:rFonts w:ascii="Times New Roman" w:hAnsi="Times New Roman" w:cs="Times New Roman"/>
          <w:sz w:val="24"/>
          <w:szCs w:val="24"/>
        </w:rPr>
        <w:t>provedbe</w:t>
      </w:r>
      <w:r w:rsidR="00211413" w:rsidRPr="00C0186C">
        <w:rPr>
          <w:rFonts w:ascii="Times New Roman" w:hAnsi="Times New Roman" w:cs="Times New Roman"/>
          <w:sz w:val="24"/>
          <w:szCs w:val="24"/>
        </w:rPr>
        <w:t xml:space="preserve"> </w:t>
      </w:r>
      <w:r w:rsidR="00336467" w:rsidRPr="00C0186C">
        <w:rPr>
          <w:rFonts w:ascii="Times New Roman" w:hAnsi="Times New Roman" w:cs="Times New Roman"/>
          <w:sz w:val="24"/>
          <w:szCs w:val="24"/>
        </w:rPr>
        <w:t>nisu bili u dovoljnoj mjeri fokusirani na sustavno i cjelovito otklanjanje ograničavajućih faktora za postizanje većih stopa zaposlenosti,</w:t>
      </w:r>
      <w:r w:rsidR="001B6EC1" w:rsidRPr="00C0186C">
        <w:rPr>
          <w:rFonts w:ascii="Times New Roman" w:hAnsi="Times New Roman" w:cs="Times New Roman"/>
          <w:sz w:val="24"/>
          <w:szCs w:val="24"/>
        </w:rPr>
        <w:t xml:space="preserve"> pokretanje intenzivnijeg demografskog rasta i razvoja te </w:t>
      </w:r>
      <w:r w:rsidR="006329CB" w:rsidRPr="00C0186C">
        <w:rPr>
          <w:rFonts w:ascii="Times New Roman" w:hAnsi="Times New Roman" w:cs="Times New Roman"/>
          <w:sz w:val="24"/>
          <w:szCs w:val="24"/>
        </w:rPr>
        <w:t>n</w:t>
      </w:r>
      <w:r w:rsidR="009E1C23" w:rsidRPr="00C0186C">
        <w:rPr>
          <w:rFonts w:ascii="Times New Roman" w:hAnsi="Times New Roman" w:cs="Times New Roman"/>
          <w:sz w:val="24"/>
          <w:szCs w:val="24"/>
        </w:rPr>
        <w:t xml:space="preserve">a </w:t>
      </w:r>
      <w:r w:rsidR="001B6EC1" w:rsidRPr="00C0186C">
        <w:rPr>
          <w:rFonts w:ascii="Times New Roman" w:hAnsi="Times New Roman" w:cs="Times New Roman"/>
          <w:sz w:val="24"/>
          <w:szCs w:val="24"/>
        </w:rPr>
        <w:t>jačanje ekonomske snage stanovništva u PP</w:t>
      </w:r>
      <w:r w:rsidR="008955BE" w:rsidRPr="00C0186C">
        <w:rPr>
          <w:rFonts w:ascii="Times New Roman" w:hAnsi="Times New Roman" w:cs="Times New Roman"/>
          <w:sz w:val="24"/>
          <w:szCs w:val="24"/>
        </w:rPr>
        <w:t>-u</w:t>
      </w:r>
      <w:r w:rsidR="001B6EC1" w:rsidRPr="00C0186C">
        <w:rPr>
          <w:rFonts w:ascii="Times New Roman" w:hAnsi="Times New Roman" w:cs="Times New Roman"/>
          <w:sz w:val="24"/>
          <w:szCs w:val="24"/>
        </w:rPr>
        <w:t xml:space="preserve">, </w:t>
      </w:r>
      <w:r w:rsidR="00336467" w:rsidRPr="00C0186C">
        <w:rPr>
          <w:rFonts w:ascii="Times New Roman" w:hAnsi="Times New Roman" w:cs="Times New Roman"/>
          <w:sz w:val="24"/>
          <w:szCs w:val="24"/>
        </w:rPr>
        <w:t xml:space="preserve">stoga </w:t>
      </w:r>
      <w:r w:rsidR="00EF2375" w:rsidRPr="00C0186C">
        <w:rPr>
          <w:rFonts w:ascii="Times New Roman" w:hAnsi="Times New Roman" w:cs="Times New Roman"/>
          <w:sz w:val="24"/>
          <w:szCs w:val="24"/>
        </w:rPr>
        <w:t>nisu niti mogli ostvari</w:t>
      </w:r>
      <w:r w:rsidR="00336467" w:rsidRPr="00C0186C">
        <w:rPr>
          <w:rFonts w:ascii="Times New Roman" w:hAnsi="Times New Roman" w:cs="Times New Roman"/>
          <w:sz w:val="24"/>
          <w:szCs w:val="24"/>
        </w:rPr>
        <w:t>ti</w:t>
      </w:r>
      <w:r w:rsidR="00EF2375" w:rsidRPr="00C0186C">
        <w:rPr>
          <w:rFonts w:ascii="Times New Roman" w:hAnsi="Times New Roman" w:cs="Times New Roman"/>
          <w:sz w:val="24"/>
          <w:szCs w:val="24"/>
        </w:rPr>
        <w:t xml:space="preserve"> željen</w:t>
      </w:r>
      <w:r w:rsidR="00336467" w:rsidRPr="00C0186C">
        <w:rPr>
          <w:rFonts w:ascii="Times New Roman" w:hAnsi="Times New Roman" w:cs="Times New Roman"/>
          <w:sz w:val="24"/>
          <w:szCs w:val="24"/>
        </w:rPr>
        <w:t>e učinke.</w:t>
      </w:r>
      <w:r w:rsidR="001B6EC1" w:rsidRPr="00C0186C">
        <w:rPr>
          <w:rFonts w:ascii="Times New Roman" w:hAnsi="Times New Roman" w:cs="Times New Roman"/>
          <w:sz w:val="24"/>
          <w:szCs w:val="24"/>
        </w:rPr>
        <w:t xml:space="preserve"> S obzirom na izostanak </w:t>
      </w:r>
      <w:r w:rsidR="00EF2375" w:rsidRPr="00C0186C">
        <w:rPr>
          <w:rFonts w:ascii="Times New Roman" w:hAnsi="Times New Roman" w:cs="Times New Roman"/>
          <w:sz w:val="24"/>
          <w:szCs w:val="24"/>
        </w:rPr>
        <w:t>primjerene</w:t>
      </w:r>
      <w:r w:rsidR="001B6EC1" w:rsidRPr="00C0186C">
        <w:rPr>
          <w:rFonts w:ascii="Times New Roman" w:hAnsi="Times New Roman" w:cs="Times New Roman"/>
          <w:sz w:val="24"/>
          <w:szCs w:val="24"/>
        </w:rPr>
        <w:t xml:space="preserve"> državne</w:t>
      </w:r>
      <w:r w:rsidR="00EF2375" w:rsidRPr="00C0186C">
        <w:rPr>
          <w:rFonts w:ascii="Times New Roman" w:hAnsi="Times New Roman" w:cs="Times New Roman"/>
          <w:sz w:val="24"/>
          <w:szCs w:val="24"/>
        </w:rPr>
        <w:t xml:space="preserve"> intervencije, </w:t>
      </w:r>
      <w:r w:rsidR="001B6EC1" w:rsidRPr="00C0186C">
        <w:rPr>
          <w:rFonts w:ascii="Times New Roman" w:hAnsi="Times New Roman" w:cs="Times New Roman"/>
          <w:sz w:val="24"/>
          <w:szCs w:val="24"/>
        </w:rPr>
        <w:t>postojeće</w:t>
      </w:r>
      <w:r w:rsidR="00EF2375" w:rsidRPr="00C0186C">
        <w:rPr>
          <w:rFonts w:ascii="Times New Roman" w:hAnsi="Times New Roman" w:cs="Times New Roman"/>
          <w:sz w:val="24"/>
          <w:szCs w:val="24"/>
        </w:rPr>
        <w:t xml:space="preserve"> stanje </w:t>
      </w:r>
      <w:r w:rsidR="001B6EC1" w:rsidRPr="00C0186C">
        <w:rPr>
          <w:rFonts w:ascii="Times New Roman" w:hAnsi="Times New Roman" w:cs="Times New Roman"/>
          <w:sz w:val="24"/>
          <w:szCs w:val="24"/>
        </w:rPr>
        <w:t>u PP</w:t>
      </w:r>
      <w:r w:rsidR="008955BE" w:rsidRPr="00C0186C">
        <w:rPr>
          <w:rFonts w:ascii="Times New Roman" w:hAnsi="Times New Roman" w:cs="Times New Roman"/>
          <w:sz w:val="24"/>
          <w:szCs w:val="24"/>
        </w:rPr>
        <w:t>-u</w:t>
      </w:r>
      <w:r w:rsidR="001B6EC1" w:rsidRPr="00C0186C">
        <w:rPr>
          <w:rFonts w:ascii="Times New Roman" w:hAnsi="Times New Roman" w:cs="Times New Roman"/>
          <w:sz w:val="24"/>
          <w:szCs w:val="24"/>
        </w:rPr>
        <w:t xml:space="preserve"> i njihov razvojni položaj u odnosu na ostatak Republike Hrvatske </w:t>
      </w:r>
      <w:r w:rsidR="00EF2375" w:rsidRPr="00C0186C">
        <w:rPr>
          <w:rFonts w:ascii="Times New Roman" w:hAnsi="Times New Roman" w:cs="Times New Roman"/>
          <w:sz w:val="24"/>
          <w:szCs w:val="24"/>
        </w:rPr>
        <w:t>zaht</w:t>
      </w:r>
      <w:r w:rsidR="001B6EC1" w:rsidRPr="00C0186C">
        <w:rPr>
          <w:rFonts w:ascii="Times New Roman" w:hAnsi="Times New Roman" w:cs="Times New Roman"/>
          <w:sz w:val="24"/>
          <w:szCs w:val="24"/>
        </w:rPr>
        <w:t>i</w:t>
      </w:r>
      <w:r w:rsidR="00EF2375" w:rsidRPr="00C0186C">
        <w:rPr>
          <w:rFonts w:ascii="Times New Roman" w:hAnsi="Times New Roman" w:cs="Times New Roman"/>
          <w:sz w:val="24"/>
          <w:szCs w:val="24"/>
        </w:rPr>
        <w:t>jeva radikalan zaokret u poticanj</w:t>
      </w:r>
      <w:r w:rsidR="001B6EC1" w:rsidRPr="00C0186C">
        <w:rPr>
          <w:rFonts w:ascii="Times New Roman" w:hAnsi="Times New Roman" w:cs="Times New Roman"/>
          <w:sz w:val="24"/>
          <w:szCs w:val="24"/>
        </w:rPr>
        <w:t xml:space="preserve">u ukupnog društvenog i gospodarskog razvoja </w:t>
      </w:r>
      <w:r w:rsidR="008955BE" w:rsidRPr="00C0186C">
        <w:rPr>
          <w:rFonts w:ascii="Times New Roman" w:hAnsi="Times New Roman" w:cs="Times New Roman"/>
          <w:sz w:val="24"/>
          <w:szCs w:val="24"/>
        </w:rPr>
        <w:t>potpomognutih područja</w:t>
      </w:r>
      <w:r w:rsidR="00006BCC" w:rsidRPr="00C0186C">
        <w:rPr>
          <w:rFonts w:ascii="Times New Roman" w:hAnsi="Times New Roman" w:cs="Times New Roman"/>
          <w:sz w:val="24"/>
          <w:szCs w:val="24"/>
        </w:rPr>
        <w:t>, a koji primarn</w:t>
      </w:r>
      <w:r w:rsidR="009F4091" w:rsidRPr="00C0186C">
        <w:rPr>
          <w:rFonts w:ascii="Times New Roman" w:hAnsi="Times New Roman" w:cs="Times New Roman"/>
          <w:sz w:val="24"/>
          <w:szCs w:val="24"/>
        </w:rPr>
        <w:t>o</w:t>
      </w:r>
      <w:r w:rsidR="00006BCC" w:rsidRPr="00C0186C">
        <w:rPr>
          <w:rFonts w:ascii="Times New Roman" w:hAnsi="Times New Roman" w:cs="Times New Roman"/>
          <w:sz w:val="24"/>
          <w:szCs w:val="24"/>
        </w:rPr>
        <w:t xml:space="preserve"> mora biti </w:t>
      </w:r>
      <w:r w:rsidR="009F4091" w:rsidRPr="00C0186C">
        <w:rPr>
          <w:rFonts w:ascii="Times New Roman" w:hAnsi="Times New Roman" w:cs="Times New Roman"/>
          <w:sz w:val="24"/>
          <w:szCs w:val="24"/>
        </w:rPr>
        <w:t>orijentiran</w:t>
      </w:r>
      <w:r w:rsidR="00006BCC" w:rsidRPr="00C0186C">
        <w:rPr>
          <w:rFonts w:ascii="Times New Roman" w:hAnsi="Times New Roman" w:cs="Times New Roman"/>
          <w:sz w:val="24"/>
          <w:szCs w:val="24"/>
        </w:rPr>
        <w:t xml:space="preserve"> na realizaciju prethodno postavljenih ciljeva. </w:t>
      </w:r>
      <w:r w:rsidR="009E1C23" w:rsidRPr="00C0186C">
        <w:rPr>
          <w:rFonts w:ascii="Times New Roman" w:hAnsi="Times New Roman" w:cs="Times New Roman"/>
          <w:sz w:val="24"/>
          <w:szCs w:val="24"/>
        </w:rPr>
        <w:t>Pritom, važno je naglasiti kako ova dva cilja isključivo treba percipirati kao komplementarne ciljeve politike regionalnog razvoja, a kod kojih je uspješnost mjera i aktivnosti u okviru jednog cilja uvelike uvjetovana uspješnošću provedbe mjera i instrumenata koji se primarno odnose na realizaciju drugog cilja.</w:t>
      </w:r>
    </w:p>
    <w:p w14:paraId="737F77F4" w14:textId="77777777" w:rsidR="009E1C23" w:rsidRPr="00C0186C" w:rsidRDefault="009E1C23" w:rsidP="00B70EE8">
      <w:pPr>
        <w:spacing w:before="0" w:after="0"/>
        <w:jc w:val="both"/>
        <w:rPr>
          <w:rFonts w:ascii="Times New Roman" w:hAnsi="Times New Roman" w:cs="Times New Roman"/>
          <w:sz w:val="24"/>
          <w:szCs w:val="24"/>
        </w:rPr>
      </w:pPr>
    </w:p>
    <w:p w14:paraId="7C29CE50" w14:textId="77777777" w:rsidR="00351724" w:rsidRPr="00C0186C" w:rsidRDefault="00006BCC" w:rsidP="00B70EE8">
      <w:pPr>
        <w:spacing w:before="0" w:after="0"/>
        <w:jc w:val="both"/>
        <w:rPr>
          <w:rFonts w:ascii="Times New Roman" w:eastAsia="Calibri" w:hAnsi="Times New Roman" w:cs="Times New Roman"/>
          <w:sz w:val="24"/>
          <w:szCs w:val="24"/>
          <w:lang w:eastAsia="hr-HR"/>
        </w:rPr>
      </w:pPr>
      <w:r w:rsidRPr="00C0186C">
        <w:rPr>
          <w:rFonts w:ascii="Times New Roman" w:hAnsi="Times New Roman" w:cs="Times New Roman"/>
          <w:b/>
          <w:bCs/>
          <w:sz w:val="24"/>
          <w:szCs w:val="24"/>
        </w:rPr>
        <w:t>Cilj 1. Povećanje zaposlenosti i dohotka</w:t>
      </w:r>
      <w:r w:rsidR="00E56E17" w:rsidRPr="00C0186C">
        <w:rPr>
          <w:rFonts w:ascii="Times New Roman" w:hAnsi="Times New Roman" w:cs="Times New Roman"/>
          <w:bCs/>
          <w:sz w:val="24"/>
          <w:szCs w:val="24"/>
        </w:rPr>
        <w:t xml:space="preserve">, kako je prethodno navedeno, ključan je preduvjet za ostvarenje svih drugih ciljeva, a poglavito ciljeva demografske obnove, povećanja fiskalnih kapaciteta te ublažavanja fiskalne nejednakosti među lokalnim samoupravama kao i ciljeva lokalne politike u kontekstu smanjenja rizika od siromaštva te ublažavanja </w:t>
      </w:r>
      <w:r w:rsidR="008C2997" w:rsidRPr="00C0186C">
        <w:rPr>
          <w:rFonts w:ascii="Times New Roman" w:hAnsi="Times New Roman" w:cs="Times New Roman"/>
          <w:bCs/>
          <w:sz w:val="24"/>
          <w:szCs w:val="24"/>
        </w:rPr>
        <w:t>dohodovnih</w:t>
      </w:r>
      <w:r w:rsidR="00E56E17" w:rsidRPr="00C0186C">
        <w:rPr>
          <w:rFonts w:ascii="Times New Roman" w:hAnsi="Times New Roman" w:cs="Times New Roman"/>
          <w:bCs/>
          <w:sz w:val="24"/>
          <w:szCs w:val="24"/>
        </w:rPr>
        <w:t xml:space="preserve"> razlika među građanima. </w:t>
      </w:r>
      <w:r w:rsidR="00351724" w:rsidRPr="00C0186C">
        <w:rPr>
          <w:rFonts w:ascii="Times New Roman" w:hAnsi="Times New Roman" w:cs="Times New Roman"/>
          <w:bCs/>
          <w:sz w:val="24"/>
          <w:szCs w:val="24"/>
        </w:rPr>
        <w:t>Dosadašnje javne politike, dijelom zbog nedovoljnog fokusa na suštinske probleme, a dijelom zbog manjka financijske pomoći prema potpomognuti</w:t>
      </w:r>
      <w:r w:rsidR="00592083" w:rsidRPr="00C0186C">
        <w:rPr>
          <w:rFonts w:ascii="Times New Roman" w:hAnsi="Times New Roman" w:cs="Times New Roman"/>
          <w:bCs/>
          <w:sz w:val="24"/>
          <w:szCs w:val="24"/>
        </w:rPr>
        <w:t>m područjima nisu polučile očekivane ishode</w:t>
      </w:r>
      <w:r w:rsidR="00351724" w:rsidRPr="00C0186C">
        <w:rPr>
          <w:rFonts w:ascii="Times New Roman" w:hAnsi="Times New Roman" w:cs="Times New Roman"/>
          <w:bCs/>
          <w:sz w:val="24"/>
          <w:szCs w:val="24"/>
        </w:rPr>
        <w:t>. Provedene analize ukazuju da se zaposlenost nikad nije vratila na pred</w:t>
      </w:r>
      <w:r w:rsidR="0055270F" w:rsidRPr="00C0186C">
        <w:rPr>
          <w:rFonts w:ascii="Times New Roman" w:hAnsi="Times New Roman" w:cs="Times New Roman"/>
          <w:bCs/>
          <w:sz w:val="24"/>
          <w:szCs w:val="24"/>
        </w:rPr>
        <w:t xml:space="preserve"> </w:t>
      </w:r>
      <w:r w:rsidR="00351724" w:rsidRPr="00C0186C">
        <w:rPr>
          <w:rFonts w:ascii="Times New Roman" w:hAnsi="Times New Roman" w:cs="Times New Roman"/>
          <w:bCs/>
          <w:sz w:val="24"/>
          <w:szCs w:val="24"/>
        </w:rPr>
        <w:t xml:space="preserve">kriznu 2008. godinu, a </w:t>
      </w:r>
      <w:r w:rsidR="00351724" w:rsidRPr="00C0186C">
        <w:rPr>
          <w:rFonts w:ascii="Times New Roman" w:eastAsia="Calibri" w:hAnsi="Times New Roman" w:cs="Times New Roman"/>
          <w:sz w:val="24"/>
          <w:szCs w:val="24"/>
          <w:lang w:eastAsia="hr-HR"/>
        </w:rPr>
        <w:t xml:space="preserve">sam pad broja zaposlenih u Republici Hrvatskoj u kriznom razdoblju dominantno se odnosio na </w:t>
      </w:r>
      <w:r w:rsidR="007038CF" w:rsidRPr="00C0186C">
        <w:rPr>
          <w:rFonts w:ascii="Times New Roman" w:eastAsia="Calibri" w:hAnsi="Times New Roman" w:cs="Times New Roman"/>
          <w:sz w:val="24"/>
          <w:szCs w:val="24"/>
          <w:lang w:eastAsia="hr-HR"/>
        </w:rPr>
        <w:t>JLS</w:t>
      </w:r>
      <w:r w:rsidR="004D29E3" w:rsidRPr="00C0186C">
        <w:rPr>
          <w:rFonts w:ascii="Times New Roman" w:eastAsia="Calibri" w:hAnsi="Times New Roman" w:cs="Times New Roman"/>
          <w:sz w:val="24"/>
          <w:szCs w:val="24"/>
          <w:lang w:eastAsia="hr-HR"/>
        </w:rPr>
        <w:t>-ove</w:t>
      </w:r>
      <w:r w:rsidR="00351724" w:rsidRPr="00C0186C">
        <w:rPr>
          <w:rFonts w:ascii="Times New Roman" w:eastAsia="Calibri" w:hAnsi="Times New Roman" w:cs="Times New Roman"/>
          <w:sz w:val="24"/>
          <w:szCs w:val="24"/>
          <w:lang w:eastAsia="hr-HR"/>
        </w:rPr>
        <w:t xml:space="preserve"> sa statusom potpomognutih područja, s </w:t>
      </w:r>
      <w:r w:rsidR="00592083" w:rsidRPr="00C0186C">
        <w:rPr>
          <w:rFonts w:ascii="Times New Roman" w:eastAsia="Calibri" w:hAnsi="Times New Roman" w:cs="Times New Roman"/>
          <w:sz w:val="24"/>
          <w:szCs w:val="24"/>
          <w:lang w:eastAsia="hr-HR"/>
        </w:rPr>
        <w:t xml:space="preserve">približnim udjelom od </w:t>
      </w:r>
      <w:r w:rsidR="00351724" w:rsidRPr="00C0186C">
        <w:rPr>
          <w:rFonts w:ascii="Times New Roman" w:eastAsia="Calibri" w:hAnsi="Times New Roman" w:cs="Times New Roman"/>
          <w:sz w:val="24"/>
          <w:szCs w:val="24"/>
          <w:lang w:eastAsia="hr-HR"/>
        </w:rPr>
        <w:t>80% od ukupnog smanjenja zaposlenosti. Također, recentno smanjenje nezaposlenosti na PP</w:t>
      </w:r>
      <w:r w:rsidR="004D29E3" w:rsidRPr="00C0186C">
        <w:rPr>
          <w:rFonts w:ascii="Times New Roman" w:eastAsia="Calibri" w:hAnsi="Times New Roman" w:cs="Times New Roman"/>
          <w:sz w:val="24"/>
          <w:szCs w:val="24"/>
          <w:lang w:eastAsia="hr-HR"/>
        </w:rPr>
        <w:t>-u</w:t>
      </w:r>
      <w:r w:rsidR="00351724" w:rsidRPr="00C0186C">
        <w:rPr>
          <w:rFonts w:ascii="Times New Roman" w:eastAsia="Calibri" w:hAnsi="Times New Roman" w:cs="Times New Roman"/>
          <w:sz w:val="24"/>
          <w:szCs w:val="24"/>
          <w:lang w:eastAsia="hr-HR"/>
        </w:rPr>
        <w:t xml:space="preserve"> prvenstveno je determinirano negativnim demografskim i migraci</w:t>
      </w:r>
      <w:r w:rsidR="00592083" w:rsidRPr="00C0186C">
        <w:rPr>
          <w:rFonts w:ascii="Times New Roman" w:eastAsia="Calibri" w:hAnsi="Times New Roman" w:cs="Times New Roman"/>
          <w:sz w:val="24"/>
          <w:szCs w:val="24"/>
          <w:lang w:eastAsia="hr-HR"/>
        </w:rPr>
        <w:t>jskim kretanjima, a ne značajnijim naporima u smjeru jačanja</w:t>
      </w:r>
      <w:r w:rsidR="00351724" w:rsidRPr="00C0186C">
        <w:rPr>
          <w:rFonts w:ascii="Times New Roman" w:eastAsia="Calibri" w:hAnsi="Times New Roman" w:cs="Times New Roman"/>
          <w:sz w:val="24"/>
          <w:szCs w:val="24"/>
          <w:lang w:eastAsia="hr-HR"/>
        </w:rPr>
        <w:t xml:space="preserve"> gospodarskih aktivnosti</w:t>
      </w:r>
      <w:r w:rsidR="00592083" w:rsidRPr="00C0186C">
        <w:rPr>
          <w:rFonts w:ascii="Times New Roman" w:eastAsia="Calibri" w:hAnsi="Times New Roman" w:cs="Times New Roman"/>
          <w:sz w:val="24"/>
          <w:szCs w:val="24"/>
          <w:lang w:eastAsia="hr-HR"/>
        </w:rPr>
        <w:t>, a posljedično</w:t>
      </w:r>
      <w:r w:rsidR="00351724" w:rsidRPr="00C0186C">
        <w:rPr>
          <w:rFonts w:ascii="Times New Roman" w:eastAsia="Calibri" w:hAnsi="Times New Roman" w:cs="Times New Roman"/>
          <w:sz w:val="24"/>
          <w:szCs w:val="24"/>
          <w:lang w:eastAsia="hr-HR"/>
        </w:rPr>
        <w:t xml:space="preserve"> i tranzicijom nezaposlenih osoba u kategoriju</w:t>
      </w:r>
      <w:r w:rsidR="00592083" w:rsidRPr="00C0186C">
        <w:rPr>
          <w:rFonts w:ascii="Times New Roman" w:eastAsia="Calibri" w:hAnsi="Times New Roman" w:cs="Times New Roman"/>
          <w:sz w:val="24"/>
          <w:szCs w:val="24"/>
          <w:lang w:eastAsia="hr-HR"/>
        </w:rPr>
        <w:t xml:space="preserve"> zaposlenih. Važno je naglasiti</w:t>
      </w:r>
      <w:r w:rsidR="00351724" w:rsidRPr="00C0186C">
        <w:rPr>
          <w:rFonts w:ascii="Times New Roman" w:eastAsia="Calibri" w:hAnsi="Times New Roman" w:cs="Times New Roman"/>
          <w:sz w:val="24"/>
          <w:szCs w:val="24"/>
          <w:lang w:eastAsia="hr-HR"/>
        </w:rPr>
        <w:t xml:space="preserve"> da je analiza </w:t>
      </w:r>
      <w:r w:rsidR="00592083" w:rsidRPr="00C0186C">
        <w:rPr>
          <w:rFonts w:ascii="Times New Roman" w:eastAsia="Calibri" w:hAnsi="Times New Roman" w:cs="Times New Roman"/>
          <w:sz w:val="24"/>
          <w:szCs w:val="24"/>
          <w:lang w:eastAsia="hr-HR"/>
        </w:rPr>
        <w:t>isto tako</w:t>
      </w:r>
      <w:r w:rsidR="00351724" w:rsidRPr="00C0186C">
        <w:rPr>
          <w:rFonts w:ascii="Times New Roman" w:eastAsia="Calibri" w:hAnsi="Times New Roman" w:cs="Times New Roman"/>
          <w:sz w:val="24"/>
          <w:szCs w:val="24"/>
          <w:lang w:eastAsia="hr-HR"/>
        </w:rPr>
        <w:t xml:space="preserve"> pokazala značajnu ovisnost demografskih kretanja o stopi zaposlenosti odnosno nezaposlenosti</w:t>
      </w:r>
      <w:r w:rsidR="00592083" w:rsidRPr="00C0186C">
        <w:rPr>
          <w:rFonts w:ascii="Times New Roman" w:eastAsia="Calibri" w:hAnsi="Times New Roman" w:cs="Times New Roman"/>
          <w:sz w:val="24"/>
          <w:szCs w:val="24"/>
          <w:lang w:eastAsia="hr-HR"/>
        </w:rPr>
        <w:t>,</w:t>
      </w:r>
      <w:r w:rsidR="00351724" w:rsidRPr="00C0186C">
        <w:rPr>
          <w:rFonts w:ascii="Times New Roman" w:eastAsia="Calibri" w:hAnsi="Times New Roman" w:cs="Times New Roman"/>
          <w:sz w:val="24"/>
          <w:szCs w:val="24"/>
          <w:lang w:eastAsia="hr-HR"/>
        </w:rPr>
        <w:t xml:space="preserve"> što pokazuje da </w:t>
      </w:r>
      <w:r w:rsidR="00592083" w:rsidRPr="00C0186C">
        <w:rPr>
          <w:rFonts w:ascii="Times New Roman" w:eastAsia="Calibri" w:hAnsi="Times New Roman" w:cs="Times New Roman"/>
          <w:sz w:val="24"/>
          <w:szCs w:val="24"/>
          <w:lang w:eastAsia="hr-HR"/>
        </w:rPr>
        <w:t>je za održivost pozitivnih dugoročnih</w:t>
      </w:r>
      <w:r w:rsidR="00351724" w:rsidRPr="00C0186C">
        <w:rPr>
          <w:rFonts w:ascii="Times New Roman" w:eastAsia="Calibri" w:hAnsi="Times New Roman" w:cs="Times New Roman"/>
          <w:sz w:val="24"/>
          <w:szCs w:val="24"/>
          <w:lang w:eastAsia="hr-HR"/>
        </w:rPr>
        <w:t xml:space="preserve"> </w:t>
      </w:r>
      <w:r w:rsidR="00592083" w:rsidRPr="00C0186C">
        <w:rPr>
          <w:rFonts w:ascii="Times New Roman" w:eastAsia="Calibri" w:hAnsi="Times New Roman" w:cs="Times New Roman"/>
          <w:sz w:val="24"/>
          <w:szCs w:val="24"/>
          <w:lang w:eastAsia="hr-HR"/>
        </w:rPr>
        <w:t>razvojnih kretanja presudno kreirati</w:t>
      </w:r>
      <w:r w:rsidR="00351724" w:rsidRPr="00C0186C">
        <w:rPr>
          <w:rFonts w:ascii="Times New Roman" w:eastAsia="Calibri" w:hAnsi="Times New Roman" w:cs="Times New Roman"/>
          <w:sz w:val="24"/>
          <w:szCs w:val="24"/>
          <w:lang w:eastAsia="hr-HR"/>
        </w:rPr>
        <w:t xml:space="preserve"> </w:t>
      </w:r>
      <w:r w:rsidR="00592083" w:rsidRPr="00C0186C">
        <w:rPr>
          <w:rFonts w:ascii="Times New Roman" w:eastAsia="Calibri" w:hAnsi="Times New Roman" w:cs="Times New Roman"/>
          <w:sz w:val="24"/>
          <w:szCs w:val="24"/>
          <w:lang w:eastAsia="hr-HR"/>
        </w:rPr>
        <w:t xml:space="preserve">odgovarajuće </w:t>
      </w:r>
      <w:r w:rsidR="00351724" w:rsidRPr="00C0186C">
        <w:rPr>
          <w:rFonts w:ascii="Times New Roman" w:eastAsia="Calibri" w:hAnsi="Times New Roman" w:cs="Times New Roman"/>
          <w:sz w:val="24"/>
          <w:szCs w:val="24"/>
          <w:lang w:eastAsia="hr-HR"/>
        </w:rPr>
        <w:t>mjere poticanja gospodarstva</w:t>
      </w:r>
      <w:r w:rsidR="00592083" w:rsidRPr="00C0186C">
        <w:rPr>
          <w:rFonts w:ascii="Times New Roman" w:eastAsia="Calibri" w:hAnsi="Times New Roman" w:cs="Times New Roman"/>
          <w:sz w:val="24"/>
          <w:szCs w:val="24"/>
          <w:lang w:eastAsia="hr-HR"/>
        </w:rPr>
        <w:t xml:space="preserve"> </w:t>
      </w:r>
      <w:r w:rsidR="00351724" w:rsidRPr="00C0186C">
        <w:rPr>
          <w:rFonts w:ascii="Times New Roman" w:eastAsia="Calibri" w:hAnsi="Times New Roman" w:cs="Times New Roman"/>
          <w:sz w:val="24"/>
          <w:szCs w:val="24"/>
          <w:lang w:eastAsia="hr-HR"/>
        </w:rPr>
        <w:t xml:space="preserve">te povećanja zaposlenosti. </w:t>
      </w:r>
      <w:r w:rsidR="0055270F" w:rsidRPr="00C0186C">
        <w:rPr>
          <w:rFonts w:ascii="Times New Roman" w:eastAsia="Calibri" w:hAnsi="Times New Roman" w:cs="Times New Roman"/>
          <w:sz w:val="24"/>
          <w:szCs w:val="24"/>
          <w:lang w:eastAsia="hr-HR"/>
        </w:rPr>
        <w:t>Također, razmjeri nezaposlenosti te niske razine stope zaposlenosti, kao i razina dohotka stanovništva</w:t>
      </w:r>
      <w:r w:rsidR="00592083" w:rsidRPr="00C0186C">
        <w:rPr>
          <w:rFonts w:ascii="Times New Roman" w:eastAsia="Calibri" w:hAnsi="Times New Roman" w:cs="Times New Roman"/>
          <w:sz w:val="24"/>
          <w:szCs w:val="24"/>
          <w:lang w:eastAsia="hr-HR"/>
        </w:rPr>
        <w:t>,</w:t>
      </w:r>
      <w:r w:rsidR="0055270F" w:rsidRPr="00C0186C">
        <w:rPr>
          <w:rFonts w:ascii="Times New Roman" w:eastAsia="Calibri" w:hAnsi="Times New Roman" w:cs="Times New Roman"/>
          <w:sz w:val="24"/>
          <w:szCs w:val="24"/>
          <w:lang w:eastAsia="hr-HR"/>
        </w:rPr>
        <w:t xml:space="preserve"> posebno u prvoj i drugoj razvojnoj skupini, ali i na cijelom</w:t>
      </w:r>
      <w:r w:rsidR="00592083" w:rsidRPr="00C0186C">
        <w:rPr>
          <w:rFonts w:ascii="Times New Roman" w:eastAsia="Calibri" w:hAnsi="Times New Roman" w:cs="Times New Roman"/>
          <w:sz w:val="24"/>
          <w:szCs w:val="24"/>
          <w:lang w:eastAsia="hr-HR"/>
        </w:rPr>
        <w:t xml:space="preserve"> području potpomognutih lokalnih samouprava dodatno ukazuju na</w:t>
      </w:r>
      <w:r w:rsidR="0055270F" w:rsidRPr="00C0186C">
        <w:rPr>
          <w:rFonts w:ascii="Times New Roman" w:eastAsia="Calibri" w:hAnsi="Times New Roman" w:cs="Times New Roman"/>
          <w:sz w:val="24"/>
          <w:szCs w:val="24"/>
          <w:lang w:eastAsia="hr-HR"/>
        </w:rPr>
        <w:t xml:space="preserve"> alarmant</w:t>
      </w:r>
      <w:r w:rsidR="00592083" w:rsidRPr="00C0186C">
        <w:rPr>
          <w:rFonts w:ascii="Times New Roman" w:eastAsia="Calibri" w:hAnsi="Times New Roman" w:cs="Times New Roman"/>
          <w:sz w:val="24"/>
          <w:szCs w:val="24"/>
          <w:lang w:eastAsia="hr-HR"/>
        </w:rPr>
        <w:t>no stanje koje zahtijeva promptno rješavanje</w:t>
      </w:r>
      <w:r w:rsidR="006329CB" w:rsidRPr="00C0186C">
        <w:rPr>
          <w:rFonts w:ascii="Times New Roman" w:eastAsia="Calibri" w:hAnsi="Times New Roman" w:cs="Times New Roman"/>
          <w:sz w:val="24"/>
          <w:szCs w:val="24"/>
          <w:lang w:eastAsia="hr-HR"/>
        </w:rPr>
        <w:t xml:space="preserve">. </w:t>
      </w:r>
      <w:r w:rsidR="0055270F" w:rsidRPr="00C0186C">
        <w:rPr>
          <w:rFonts w:ascii="Times New Roman" w:eastAsia="Calibri" w:hAnsi="Times New Roman" w:cs="Times New Roman"/>
          <w:sz w:val="24"/>
          <w:szCs w:val="24"/>
          <w:lang w:eastAsia="hr-HR"/>
        </w:rPr>
        <w:t>Stoga se očekivani učinci ostvarenja ovog cilja</w:t>
      </w:r>
      <w:r w:rsidR="00926E0F" w:rsidRPr="00C0186C">
        <w:rPr>
          <w:rFonts w:ascii="Times New Roman" w:eastAsia="Calibri" w:hAnsi="Times New Roman" w:cs="Times New Roman"/>
          <w:sz w:val="24"/>
          <w:szCs w:val="24"/>
          <w:lang w:eastAsia="hr-HR"/>
        </w:rPr>
        <w:t xml:space="preserve"> kroz poticanje gospodarskog rasta i razvoja te jačanja aktivnih ljudskih potencijala te institucionalnih kapaciteta primarno moraju</w:t>
      </w:r>
      <w:r w:rsidR="0055270F" w:rsidRPr="00C0186C">
        <w:rPr>
          <w:rFonts w:ascii="Times New Roman" w:eastAsia="Calibri" w:hAnsi="Times New Roman" w:cs="Times New Roman"/>
          <w:sz w:val="24"/>
          <w:szCs w:val="24"/>
          <w:lang w:eastAsia="hr-HR"/>
        </w:rPr>
        <w:t xml:space="preserve"> </w:t>
      </w:r>
      <w:r w:rsidR="00926E0F" w:rsidRPr="00C0186C">
        <w:rPr>
          <w:rFonts w:ascii="Times New Roman" w:eastAsia="Calibri" w:hAnsi="Times New Roman" w:cs="Times New Roman"/>
          <w:sz w:val="24"/>
          <w:szCs w:val="24"/>
          <w:lang w:eastAsia="hr-HR"/>
        </w:rPr>
        <w:t>usmjeriti</w:t>
      </w:r>
      <w:r w:rsidR="0055270F" w:rsidRPr="00C0186C">
        <w:rPr>
          <w:rFonts w:ascii="Times New Roman" w:eastAsia="Calibri" w:hAnsi="Times New Roman" w:cs="Times New Roman"/>
          <w:sz w:val="24"/>
          <w:szCs w:val="24"/>
          <w:lang w:eastAsia="hr-HR"/>
        </w:rPr>
        <w:t xml:space="preserve"> na brzo povećanje stope zaposlenosti te redukciju nezaposlenosti, kao i </w:t>
      </w:r>
      <w:r w:rsidR="00926E0F" w:rsidRPr="00C0186C">
        <w:rPr>
          <w:rFonts w:ascii="Times New Roman" w:eastAsia="Calibri" w:hAnsi="Times New Roman" w:cs="Times New Roman"/>
          <w:sz w:val="24"/>
          <w:szCs w:val="24"/>
          <w:lang w:eastAsia="hr-HR"/>
        </w:rPr>
        <w:t xml:space="preserve">na </w:t>
      </w:r>
      <w:r w:rsidR="0055270F" w:rsidRPr="00C0186C">
        <w:rPr>
          <w:rFonts w:ascii="Times New Roman" w:eastAsia="Calibri" w:hAnsi="Times New Roman" w:cs="Times New Roman"/>
          <w:sz w:val="24"/>
          <w:szCs w:val="24"/>
          <w:lang w:eastAsia="hr-HR"/>
        </w:rPr>
        <w:t>povećanje produktivnosti lokalnih zajednica</w:t>
      </w:r>
      <w:r w:rsidR="00926E0F" w:rsidRPr="00C0186C">
        <w:rPr>
          <w:rFonts w:ascii="Times New Roman" w:eastAsia="Calibri" w:hAnsi="Times New Roman" w:cs="Times New Roman"/>
          <w:sz w:val="24"/>
          <w:szCs w:val="24"/>
          <w:lang w:eastAsia="hr-HR"/>
        </w:rPr>
        <w:t>, a sve</w:t>
      </w:r>
      <w:r w:rsidR="0055270F" w:rsidRPr="00C0186C">
        <w:rPr>
          <w:rFonts w:ascii="Times New Roman" w:eastAsia="Calibri" w:hAnsi="Times New Roman" w:cs="Times New Roman"/>
          <w:sz w:val="24"/>
          <w:szCs w:val="24"/>
          <w:lang w:eastAsia="hr-HR"/>
        </w:rPr>
        <w:t xml:space="preserve"> kako bi se </w:t>
      </w:r>
      <w:r w:rsidR="00926E0F" w:rsidRPr="00C0186C">
        <w:rPr>
          <w:rFonts w:ascii="Times New Roman" w:eastAsia="Calibri" w:hAnsi="Times New Roman" w:cs="Times New Roman"/>
          <w:sz w:val="24"/>
          <w:szCs w:val="24"/>
          <w:lang w:eastAsia="hr-HR"/>
        </w:rPr>
        <w:t>u konačnici utjecalo na</w:t>
      </w:r>
      <w:r w:rsidR="0055270F" w:rsidRPr="00C0186C">
        <w:rPr>
          <w:rFonts w:ascii="Times New Roman" w:eastAsia="Calibri" w:hAnsi="Times New Roman" w:cs="Times New Roman"/>
          <w:sz w:val="24"/>
          <w:szCs w:val="24"/>
          <w:lang w:eastAsia="hr-HR"/>
        </w:rPr>
        <w:t xml:space="preserve"> povećanje dohotka građana, a posredno i fiskalnih kapaciteta zajednice.</w:t>
      </w:r>
    </w:p>
    <w:p w14:paraId="6ADCCADF" w14:textId="77777777" w:rsidR="00006BCC" w:rsidRPr="00C0186C" w:rsidRDefault="00006BCC" w:rsidP="00B70EE8">
      <w:pPr>
        <w:spacing w:before="0" w:after="0"/>
        <w:jc w:val="both"/>
        <w:rPr>
          <w:rFonts w:ascii="Times New Roman" w:hAnsi="Times New Roman" w:cs="Times New Roman"/>
          <w:b/>
          <w:bCs/>
          <w:sz w:val="24"/>
          <w:szCs w:val="24"/>
        </w:rPr>
      </w:pPr>
    </w:p>
    <w:p w14:paraId="335FB7EF" w14:textId="77777777" w:rsidR="00421D3A" w:rsidRPr="00C0186C" w:rsidRDefault="00006BCC" w:rsidP="00B70EE8">
      <w:pPr>
        <w:spacing w:before="0" w:after="0"/>
        <w:jc w:val="both"/>
        <w:rPr>
          <w:rFonts w:ascii="Times New Roman" w:hAnsi="Times New Roman" w:cs="Times New Roman"/>
          <w:bCs/>
          <w:sz w:val="24"/>
          <w:szCs w:val="24"/>
        </w:rPr>
      </w:pPr>
      <w:r w:rsidRPr="00C0186C">
        <w:rPr>
          <w:rFonts w:ascii="Times New Roman" w:hAnsi="Times New Roman" w:cs="Times New Roman"/>
          <w:b/>
          <w:bCs/>
          <w:sz w:val="24"/>
          <w:szCs w:val="24"/>
        </w:rPr>
        <w:t xml:space="preserve">Cilj 2. Demografska revitalizacija </w:t>
      </w:r>
      <w:r w:rsidR="00095BA3" w:rsidRPr="00C0186C">
        <w:rPr>
          <w:rFonts w:ascii="Times New Roman" w:hAnsi="Times New Roman" w:cs="Times New Roman"/>
          <w:bCs/>
          <w:sz w:val="24"/>
          <w:szCs w:val="24"/>
        </w:rPr>
        <w:t>usmjeren</w:t>
      </w:r>
      <w:r w:rsidR="000717F7" w:rsidRPr="00C0186C">
        <w:rPr>
          <w:rFonts w:ascii="Times New Roman" w:hAnsi="Times New Roman" w:cs="Times New Roman"/>
          <w:bCs/>
          <w:sz w:val="24"/>
          <w:szCs w:val="24"/>
        </w:rPr>
        <w:t>a</w:t>
      </w:r>
      <w:r w:rsidR="00095BA3" w:rsidRPr="00C0186C">
        <w:rPr>
          <w:rFonts w:ascii="Times New Roman" w:hAnsi="Times New Roman" w:cs="Times New Roman"/>
          <w:bCs/>
          <w:sz w:val="24"/>
          <w:szCs w:val="24"/>
        </w:rPr>
        <w:t xml:space="preserve"> je na zaustavljanje daljnjeg demografskog propadanja i poticanje demografskog rasta i razvoja PP</w:t>
      </w:r>
      <w:r w:rsidR="004D29E3" w:rsidRPr="00C0186C">
        <w:rPr>
          <w:rFonts w:ascii="Times New Roman" w:hAnsi="Times New Roman" w:cs="Times New Roman"/>
          <w:bCs/>
          <w:sz w:val="24"/>
          <w:szCs w:val="24"/>
        </w:rPr>
        <w:t>-a</w:t>
      </w:r>
      <w:r w:rsidR="00095BA3" w:rsidRPr="00C0186C">
        <w:rPr>
          <w:rFonts w:ascii="Times New Roman" w:hAnsi="Times New Roman" w:cs="Times New Roman"/>
          <w:bCs/>
          <w:sz w:val="24"/>
          <w:szCs w:val="24"/>
        </w:rPr>
        <w:t>, što će komplementarno s ostvarivanjem cilja 1. stvoriti kvalitetne pretpostavke za poboljšanje ukupnih gospodarskih i društvenih performansi PP</w:t>
      </w:r>
      <w:r w:rsidR="004D29E3" w:rsidRPr="00C0186C">
        <w:rPr>
          <w:rFonts w:ascii="Times New Roman" w:hAnsi="Times New Roman" w:cs="Times New Roman"/>
          <w:bCs/>
          <w:sz w:val="24"/>
          <w:szCs w:val="24"/>
        </w:rPr>
        <w:t>-a</w:t>
      </w:r>
      <w:r w:rsidR="00095BA3" w:rsidRPr="00C0186C">
        <w:rPr>
          <w:rFonts w:ascii="Times New Roman" w:hAnsi="Times New Roman" w:cs="Times New Roman"/>
          <w:bCs/>
          <w:sz w:val="24"/>
          <w:szCs w:val="24"/>
        </w:rPr>
        <w:t xml:space="preserve"> u smislu njihove konvergencije prema nacionalnim i EU razvojnim prosjecima. Zbog dugoročno prisutnih procesa migracijskog pražnjenja prostora PP-a i odumiranja njihovog lokalnog stanovništva, nepovoljna demografsk</w:t>
      </w:r>
      <w:r w:rsidR="009F4091" w:rsidRPr="00C0186C">
        <w:rPr>
          <w:rFonts w:ascii="Times New Roman" w:hAnsi="Times New Roman" w:cs="Times New Roman"/>
          <w:bCs/>
          <w:sz w:val="24"/>
          <w:szCs w:val="24"/>
        </w:rPr>
        <w:t>a</w:t>
      </w:r>
      <w:r w:rsidR="00095BA3" w:rsidRPr="00C0186C">
        <w:rPr>
          <w:rFonts w:ascii="Times New Roman" w:hAnsi="Times New Roman" w:cs="Times New Roman"/>
          <w:bCs/>
          <w:sz w:val="24"/>
          <w:szCs w:val="24"/>
        </w:rPr>
        <w:t xml:space="preserve"> kretanja postala su kritičnim ograničavajućim faktorom u stvaranju pozitivne razvojne perspektive u </w:t>
      </w:r>
      <w:r w:rsidR="004D29E3" w:rsidRPr="00C0186C">
        <w:rPr>
          <w:rFonts w:ascii="Times New Roman" w:hAnsi="Times New Roman" w:cs="Times New Roman"/>
          <w:bCs/>
          <w:sz w:val="24"/>
          <w:szCs w:val="24"/>
        </w:rPr>
        <w:t>potpomognutim područjima</w:t>
      </w:r>
      <w:r w:rsidR="00095BA3" w:rsidRPr="00C0186C">
        <w:rPr>
          <w:rFonts w:ascii="Times New Roman" w:hAnsi="Times New Roman" w:cs="Times New Roman"/>
          <w:bCs/>
          <w:sz w:val="24"/>
          <w:szCs w:val="24"/>
        </w:rPr>
        <w:t>, a samim time i glavnim uzrokom njihovog</w:t>
      </w:r>
      <w:r w:rsidR="009F4091" w:rsidRPr="00C0186C">
        <w:rPr>
          <w:rFonts w:ascii="Times New Roman" w:hAnsi="Times New Roman" w:cs="Times New Roman"/>
          <w:bCs/>
          <w:sz w:val="24"/>
          <w:szCs w:val="24"/>
        </w:rPr>
        <w:t xml:space="preserve"> sve većeg</w:t>
      </w:r>
      <w:r w:rsidR="00095BA3" w:rsidRPr="00C0186C">
        <w:rPr>
          <w:rFonts w:ascii="Times New Roman" w:hAnsi="Times New Roman" w:cs="Times New Roman"/>
          <w:bCs/>
          <w:sz w:val="24"/>
          <w:szCs w:val="24"/>
        </w:rPr>
        <w:t xml:space="preserve"> društvenog i gospodarskog propadanja. Osim kontinuiranog smanjenja broja stanovnika, demografska regresija PP</w:t>
      </w:r>
      <w:r w:rsidR="004D29E3" w:rsidRPr="00C0186C">
        <w:rPr>
          <w:rFonts w:ascii="Times New Roman" w:hAnsi="Times New Roman" w:cs="Times New Roman"/>
          <w:bCs/>
          <w:sz w:val="24"/>
          <w:szCs w:val="24"/>
        </w:rPr>
        <w:t>-a</w:t>
      </w:r>
      <w:r w:rsidR="00095BA3" w:rsidRPr="00C0186C">
        <w:rPr>
          <w:rFonts w:ascii="Times New Roman" w:hAnsi="Times New Roman" w:cs="Times New Roman"/>
          <w:bCs/>
          <w:sz w:val="24"/>
          <w:szCs w:val="24"/>
        </w:rPr>
        <w:t xml:space="preserve"> očituje se i u pogoršavanju strukturnih obilježja stanovništva koje u njima živi i rad</w:t>
      </w:r>
      <w:r w:rsidR="00E47711" w:rsidRPr="00C0186C">
        <w:rPr>
          <w:rFonts w:ascii="Times New Roman" w:hAnsi="Times New Roman" w:cs="Times New Roman"/>
          <w:bCs/>
          <w:sz w:val="24"/>
          <w:szCs w:val="24"/>
        </w:rPr>
        <w:t>i</w:t>
      </w:r>
      <w:r w:rsidR="00095BA3" w:rsidRPr="00C0186C">
        <w:rPr>
          <w:rFonts w:ascii="Times New Roman" w:hAnsi="Times New Roman" w:cs="Times New Roman"/>
          <w:bCs/>
          <w:sz w:val="24"/>
          <w:szCs w:val="24"/>
        </w:rPr>
        <w:t>, zbog čega</w:t>
      </w:r>
      <w:r w:rsidR="009F4091" w:rsidRPr="00C0186C">
        <w:rPr>
          <w:rFonts w:ascii="Times New Roman" w:hAnsi="Times New Roman" w:cs="Times New Roman"/>
          <w:bCs/>
          <w:sz w:val="24"/>
          <w:szCs w:val="24"/>
        </w:rPr>
        <w:t xml:space="preserve"> </w:t>
      </w:r>
      <w:r w:rsidR="00AD3B5E" w:rsidRPr="00C0186C">
        <w:rPr>
          <w:rFonts w:ascii="Times New Roman" w:hAnsi="Times New Roman" w:cs="Times New Roman"/>
          <w:bCs/>
          <w:sz w:val="24"/>
          <w:szCs w:val="24"/>
        </w:rPr>
        <w:t>u</w:t>
      </w:r>
      <w:r w:rsidR="009F4091" w:rsidRPr="00C0186C">
        <w:rPr>
          <w:rFonts w:ascii="Times New Roman" w:hAnsi="Times New Roman" w:cs="Times New Roman"/>
          <w:bCs/>
          <w:sz w:val="24"/>
          <w:szCs w:val="24"/>
        </w:rPr>
        <w:t xml:space="preserve"> </w:t>
      </w:r>
      <w:r w:rsidR="004D29E3" w:rsidRPr="00C0186C">
        <w:rPr>
          <w:rFonts w:ascii="Times New Roman" w:hAnsi="Times New Roman" w:cs="Times New Roman"/>
          <w:bCs/>
          <w:sz w:val="24"/>
          <w:szCs w:val="24"/>
        </w:rPr>
        <w:t>potpomognutim područjima</w:t>
      </w:r>
      <w:r w:rsidR="009F4091" w:rsidRPr="00C0186C">
        <w:rPr>
          <w:rFonts w:ascii="Times New Roman" w:hAnsi="Times New Roman" w:cs="Times New Roman"/>
          <w:bCs/>
          <w:sz w:val="24"/>
          <w:szCs w:val="24"/>
        </w:rPr>
        <w:t xml:space="preserve"> sve više dominiraju kontingenti starijeg stanovništva, a smanjuju se kontingenti visoko obrazovanog i kvalificiranog stanovništva.</w:t>
      </w:r>
      <w:r w:rsidR="00E47711" w:rsidRPr="00C0186C">
        <w:rPr>
          <w:rFonts w:ascii="Times New Roman" w:hAnsi="Times New Roman" w:cs="Times New Roman"/>
          <w:bCs/>
          <w:sz w:val="24"/>
          <w:szCs w:val="24"/>
        </w:rPr>
        <w:t xml:space="preserve"> </w:t>
      </w:r>
      <w:r w:rsidR="006E43CF" w:rsidRPr="00C0186C">
        <w:rPr>
          <w:rFonts w:ascii="Times New Roman" w:hAnsi="Times New Roman" w:cs="Times New Roman"/>
          <w:bCs/>
          <w:sz w:val="24"/>
          <w:szCs w:val="24"/>
        </w:rPr>
        <w:t>Zbog toga je</w:t>
      </w:r>
      <w:r w:rsidR="00E47711" w:rsidRPr="00C0186C">
        <w:rPr>
          <w:rFonts w:ascii="Times New Roman" w:hAnsi="Times New Roman" w:cs="Times New Roman"/>
          <w:bCs/>
          <w:sz w:val="24"/>
          <w:szCs w:val="24"/>
        </w:rPr>
        <w:t xml:space="preserve"> demografska revitalizacija PP</w:t>
      </w:r>
      <w:r w:rsidR="004D29E3" w:rsidRPr="00C0186C">
        <w:rPr>
          <w:rFonts w:ascii="Times New Roman" w:hAnsi="Times New Roman" w:cs="Times New Roman"/>
          <w:bCs/>
          <w:sz w:val="24"/>
          <w:szCs w:val="24"/>
        </w:rPr>
        <w:t>-a</w:t>
      </w:r>
      <w:r w:rsidR="00E47711" w:rsidRPr="00C0186C">
        <w:rPr>
          <w:rFonts w:ascii="Times New Roman" w:hAnsi="Times New Roman" w:cs="Times New Roman"/>
          <w:bCs/>
          <w:sz w:val="24"/>
          <w:szCs w:val="24"/>
        </w:rPr>
        <w:t xml:space="preserve"> izrazito složen izazov, budući da on</w:t>
      </w:r>
      <w:r w:rsidR="006E43CF" w:rsidRPr="00C0186C">
        <w:rPr>
          <w:rFonts w:ascii="Times New Roman" w:hAnsi="Times New Roman" w:cs="Times New Roman"/>
          <w:bCs/>
          <w:sz w:val="24"/>
          <w:szCs w:val="24"/>
        </w:rPr>
        <w:t>a</w:t>
      </w:r>
      <w:r w:rsidR="00E47711" w:rsidRPr="00C0186C">
        <w:rPr>
          <w:rFonts w:ascii="Times New Roman" w:hAnsi="Times New Roman" w:cs="Times New Roman"/>
          <w:bCs/>
          <w:sz w:val="24"/>
          <w:szCs w:val="24"/>
        </w:rPr>
        <w:t>, s jedne strane, zahtijeva osmišljavanje i provođenje odgovarajućih</w:t>
      </w:r>
      <w:r w:rsidR="0046312C" w:rsidRPr="00C0186C">
        <w:rPr>
          <w:rFonts w:ascii="Times New Roman" w:hAnsi="Times New Roman" w:cs="Times New Roman"/>
          <w:bCs/>
          <w:sz w:val="24"/>
          <w:szCs w:val="24"/>
        </w:rPr>
        <w:t xml:space="preserve"> i integriranih</w:t>
      </w:r>
      <w:r w:rsidR="00E47711" w:rsidRPr="00C0186C">
        <w:rPr>
          <w:rFonts w:ascii="Times New Roman" w:hAnsi="Times New Roman" w:cs="Times New Roman"/>
          <w:bCs/>
          <w:sz w:val="24"/>
          <w:szCs w:val="24"/>
        </w:rPr>
        <w:t xml:space="preserve"> mjera zadržavanja, povrata</w:t>
      </w:r>
      <w:r w:rsidR="00AB2EDB" w:rsidRPr="00C0186C">
        <w:rPr>
          <w:rFonts w:ascii="Times New Roman" w:hAnsi="Times New Roman" w:cs="Times New Roman"/>
          <w:bCs/>
          <w:sz w:val="24"/>
          <w:szCs w:val="24"/>
        </w:rPr>
        <w:t>,</w:t>
      </w:r>
      <w:r w:rsidR="00E47711" w:rsidRPr="00C0186C">
        <w:rPr>
          <w:rFonts w:ascii="Times New Roman" w:hAnsi="Times New Roman" w:cs="Times New Roman"/>
          <w:bCs/>
          <w:sz w:val="24"/>
          <w:szCs w:val="24"/>
        </w:rPr>
        <w:t xml:space="preserve"> naseljavanja </w:t>
      </w:r>
      <w:r w:rsidR="00AB2EDB" w:rsidRPr="00C0186C">
        <w:rPr>
          <w:rFonts w:ascii="Times New Roman" w:hAnsi="Times New Roman" w:cs="Times New Roman"/>
          <w:bCs/>
          <w:sz w:val="24"/>
          <w:szCs w:val="24"/>
        </w:rPr>
        <w:t xml:space="preserve">i obrazovanja </w:t>
      </w:r>
      <w:r w:rsidR="00E47711" w:rsidRPr="00C0186C">
        <w:rPr>
          <w:rFonts w:ascii="Times New Roman" w:hAnsi="Times New Roman" w:cs="Times New Roman"/>
          <w:bCs/>
          <w:sz w:val="24"/>
          <w:szCs w:val="24"/>
        </w:rPr>
        <w:t>mlađeg i radno sposobnog stanovništva u PP</w:t>
      </w:r>
      <w:r w:rsidR="004D29E3" w:rsidRPr="00C0186C">
        <w:rPr>
          <w:rFonts w:ascii="Times New Roman" w:hAnsi="Times New Roman" w:cs="Times New Roman"/>
          <w:bCs/>
          <w:sz w:val="24"/>
          <w:szCs w:val="24"/>
        </w:rPr>
        <w:t>-u</w:t>
      </w:r>
      <w:r w:rsidR="00E47711" w:rsidRPr="00C0186C">
        <w:rPr>
          <w:rFonts w:ascii="Times New Roman" w:hAnsi="Times New Roman" w:cs="Times New Roman"/>
          <w:bCs/>
          <w:sz w:val="24"/>
          <w:szCs w:val="24"/>
        </w:rPr>
        <w:t>, uključujući</w:t>
      </w:r>
      <w:r w:rsidR="006E43CF" w:rsidRPr="00C0186C">
        <w:rPr>
          <w:rFonts w:ascii="Times New Roman" w:hAnsi="Times New Roman" w:cs="Times New Roman"/>
          <w:bCs/>
          <w:sz w:val="24"/>
          <w:szCs w:val="24"/>
        </w:rPr>
        <w:t xml:space="preserve"> mjere stimulativne i </w:t>
      </w:r>
      <w:proofErr w:type="spellStart"/>
      <w:r w:rsidR="006E43CF" w:rsidRPr="00C0186C">
        <w:rPr>
          <w:rFonts w:ascii="Times New Roman" w:hAnsi="Times New Roman" w:cs="Times New Roman"/>
          <w:bCs/>
          <w:sz w:val="24"/>
          <w:szCs w:val="24"/>
        </w:rPr>
        <w:t>proaktivne</w:t>
      </w:r>
      <w:proofErr w:type="spellEnd"/>
      <w:r w:rsidR="006E43CF" w:rsidRPr="00C0186C">
        <w:rPr>
          <w:rFonts w:ascii="Times New Roman" w:hAnsi="Times New Roman" w:cs="Times New Roman"/>
          <w:bCs/>
          <w:sz w:val="24"/>
          <w:szCs w:val="24"/>
        </w:rPr>
        <w:t xml:space="preserve"> natalitetne politike. Dok</w:t>
      </w:r>
      <w:r w:rsidR="0046312C" w:rsidRPr="00C0186C">
        <w:rPr>
          <w:rFonts w:ascii="Times New Roman" w:hAnsi="Times New Roman" w:cs="Times New Roman"/>
          <w:bCs/>
          <w:sz w:val="24"/>
          <w:szCs w:val="24"/>
        </w:rPr>
        <w:t>,</w:t>
      </w:r>
      <w:r w:rsidR="006E43CF" w:rsidRPr="00C0186C">
        <w:rPr>
          <w:rFonts w:ascii="Times New Roman" w:hAnsi="Times New Roman" w:cs="Times New Roman"/>
          <w:bCs/>
          <w:sz w:val="24"/>
          <w:szCs w:val="24"/>
        </w:rPr>
        <w:t xml:space="preserve"> s druge strane</w:t>
      </w:r>
      <w:r w:rsidR="0046312C" w:rsidRPr="00C0186C">
        <w:rPr>
          <w:rFonts w:ascii="Times New Roman" w:hAnsi="Times New Roman" w:cs="Times New Roman"/>
          <w:bCs/>
          <w:sz w:val="24"/>
          <w:szCs w:val="24"/>
        </w:rPr>
        <w:t>,</w:t>
      </w:r>
      <w:r w:rsidR="006E43CF" w:rsidRPr="00C0186C">
        <w:rPr>
          <w:rFonts w:ascii="Times New Roman" w:hAnsi="Times New Roman" w:cs="Times New Roman"/>
          <w:bCs/>
          <w:sz w:val="24"/>
          <w:szCs w:val="24"/>
        </w:rPr>
        <w:t xml:space="preserve"> </w:t>
      </w:r>
      <w:r w:rsidR="0046312C" w:rsidRPr="00C0186C">
        <w:rPr>
          <w:rFonts w:ascii="Times New Roman" w:hAnsi="Times New Roman" w:cs="Times New Roman"/>
          <w:bCs/>
          <w:sz w:val="24"/>
          <w:szCs w:val="24"/>
        </w:rPr>
        <w:t xml:space="preserve">stvara odgovornost za pronalaskom adekvatnih i učinkovitih rješenja </w:t>
      </w:r>
      <w:r w:rsidR="00957CF6" w:rsidRPr="00C0186C">
        <w:rPr>
          <w:rFonts w:ascii="Times New Roman" w:hAnsi="Times New Roman" w:cs="Times New Roman"/>
          <w:bCs/>
          <w:sz w:val="24"/>
          <w:szCs w:val="24"/>
        </w:rPr>
        <w:t xml:space="preserve">i mjera </w:t>
      </w:r>
      <w:r w:rsidR="0046312C" w:rsidRPr="00C0186C">
        <w:rPr>
          <w:rFonts w:ascii="Times New Roman" w:hAnsi="Times New Roman" w:cs="Times New Roman"/>
          <w:bCs/>
          <w:sz w:val="24"/>
          <w:szCs w:val="24"/>
        </w:rPr>
        <w:t xml:space="preserve">za poticanje i promoviranje </w:t>
      </w:r>
      <w:r w:rsidR="006E43CF" w:rsidRPr="00C0186C">
        <w:rPr>
          <w:rFonts w:ascii="Times New Roman" w:hAnsi="Times New Roman" w:cs="Times New Roman"/>
          <w:bCs/>
          <w:sz w:val="24"/>
          <w:szCs w:val="24"/>
        </w:rPr>
        <w:t>međugeneracijsk</w:t>
      </w:r>
      <w:r w:rsidR="0046312C" w:rsidRPr="00C0186C">
        <w:rPr>
          <w:rFonts w:ascii="Times New Roman" w:hAnsi="Times New Roman" w:cs="Times New Roman"/>
          <w:bCs/>
          <w:sz w:val="24"/>
          <w:szCs w:val="24"/>
        </w:rPr>
        <w:t>e</w:t>
      </w:r>
      <w:r w:rsidR="006E43CF" w:rsidRPr="00C0186C">
        <w:rPr>
          <w:rFonts w:ascii="Times New Roman" w:hAnsi="Times New Roman" w:cs="Times New Roman"/>
          <w:bCs/>
          <w:sz w:val="24"/>
          <w:szCs w:val="24"/>
        </w:rPr>
        <w:t xml:space="preserve"> jednakost</w:t>
      </w:r>
      <w:r w:rsidR="0046312C" w:rsidRPr="00C0186C">
        <w:rPr>
          <w:rFonts w:ascii="Times New Roman" w:hAnsi="Times New Roman" w:cs="Times New Roman"/>
          <w:bCs/>
          <w:sz w:val="24"/>
          <w:szCs w:val="24"/>
        </w:rPr>
        <w:t>i</w:t>
      </w:r>
      <w:r w:rsidR="006E43CF" w:rsidRPr="00C0186C">
        <w:rPr>
          <w:rFonts w:ascii="Times New Roman" w:hAnsi="Times New Roman" w:cs="Times New Roman"/>
          <w:bCs/>
          <w:sz w:val="24"/>
          <w:szCs w:val="24"/>
        </w:rPr>
        <w:t xml:space="preserve"> i </w:t>
      </w:r>
      <w:r w:rsidR="00957CF6" w:rsidRPr="00C0186C">
        <w:rPr>
          <w:rFonts w:ascii="Times New Roman" w:hAnsi="Times New Roman" w:cs="Times New Roman"/>
          <w:bCs/>
          <w:sz w:val="24"/>
          <w:szCs w:val="24"/>
        </w:rPr>
        <w:t xml:space="preserve">produktivne </w:t>
      </w:r>
      <w:r w:rsidR="0046312C" w:rsidRPr="00C0186C">
        <w:rPr>
          <w:rFonts w:ascii="Times New Roman" w:hAnsi="Times New Roman" w:cs="Times New Roman"/>
          <w:bCs/>
          <w:sz w:val="24"/>
          <w:szCs w:val="24"/>
        </w:rPr>
        <w:t>uključenost</w:t>
      </w:r>
      <w:r w:rsidR="00957CF6" w:rsidRPr="00C0186C">
        <w:rPr>
          <w:rFonts w:ascii="Times New Roman" w:hAnsi="Times New Roman" w:cs="Times New Roman"/>
          <w:bCs/>
          <w:sz w:val="24"/>
          <w:szCs w:val="24"/>
        </w:rPr>
        <w:t>i</w:t>
      </w:r>
      <w:r w:rsidR="0046312C" w:rsidRPr="00C0186C">
        <w:rPr>
          <w:rFonts w:ascii="Times New Roman" w:hAnsi="Times New Roman" w:cs="Times New Roman"/>
          <w:bCs/>
          <w:sz w:val="24"/>
          <w:szCs w:val="24"/>
        </w:rPr>
        <w:t xml:space="preserve"> </w:t>
      </w:r>
      <w:r w:rsidR="00957CF6" w:rsidRPr="00C0186C">
        <w:rPr>
          <w:rFonts w:ascii="Times New Roman" w:hAnsi="Times New Roman" w:cs="Times New Roman"/>
          <w:bCs/>
          <w:sz w:val="24"/>
          <w:szCs w:val="24"/>
        </w:rPr>
        <w:t xml:space="preserve">starijih osoba </w:t>
      </w:r>
      <w:r w:rsidR="0046312C" w:rsidRPr="00C0186C">
        <w:rPr>
          <w:rFonts w:ascii="Times New Roman" w:hAnsi="Times New Roman" w:cs="Times New Roman"/>
          <w:bCs/>
          <w:sz w:val="24"/>
          <w:szCs w:val="24"/>
        </w:rPr>
        <w:t xml:space="preserve">u </w:t>
      </w:r>
      <w:r w:rsidR="00957CF6" w:rsidRPr="00C0186C">
        <w:rPr>
          <w:rFonts w:ascii="Times New Roman" w:hAnsi="Times New Roman" w:cs="Times New Roman"/>
          <w:bCs/>
          <w:sz w:val="24"/>
          <w:szCs w:val="24"/>
        </w:rPr>
        <w:t xml:space="preserve">gospodarske i društvene aktivnosti </w:t>
      </w:r>
      <w:r w:rsidR="0046312C" w:rsidRPr="00C0186C">
        <w:rPr>
          <w:rFonts w:ascii="Times New Roman" w:hAnsi="Times New Roman" w:cs="Times New Roman"/>
          <w:bCs/>
          <w:sz w:val="24"/>
          <w:szCs w:val="24"/>
        </w:rPr>
        <w:t>lokaln</w:t>
      </w:r>
      <w:r w:rsidR="00957CF6" w:rsidRPr="00C0186C">
        <w:rPr>
          <w:rFonts w:ascii="Times New Roman" w:hAnsi="Times New Roman" w:cs="Times New Roman"/>
          <w:bCs/>
          <w:sz w:val="24"/>
          <w:szCs w:val="24"/>
        </w:rPr>
        <w:t>ih zajednica na PP</w:t>
      </w:r>
      <w:r w:rsidR="004D29E3" w:rsidRPr="00C0186C">
        <w:rPr>
          <w:rFonts w:ascii="Times New Roman" w:hAnsi="Times New Roman" w:cs="Times New Roman"/>
          <w:bCs/>
          <w:sz w:val="24"/>
          <w:szCs w:val="24"/>
        </w:rPr>
        <w:t>-u</w:t>
      </w:r>
      <w:r w:rsidR="0046312C" w:rsidRPr="00C0186C">
        <w:rPr>
          <w:rFonts w:ascii="Times New Roman" w:hAnsi="Times New Roman" w:cs="Times New Roman"/>
          <w:bCs/>
          <w:sz w:val="24"/>
          <w:szCs w:val="24"/>
        </w:rPr>
        <w:t>.</w:t>
      </w:r>
      <w:r w:rsidR="00957CF6" w:rsidRPr="00C0186C">
        <w:rPr>
          <w:rFonts w:ascii="Times New Roman" w:hAnsi="Times New Roman" w:cs="Times New Roman"/>
          <w:bCs/>
          <w:sz w:val="24"/>
          <w:szCs w:val="24"/>
        </w:rPr>
        <w:t xml:space="preserve"> Sukladno tome, očekivani učinci ostvarenja ovog cilja primarno </w:t>
      </w:r>
      <w:r w:rsidR="00656CF5" w:rsidRPr="00C0186C">
        <w:rPr>
          <w:rFonts w:ascii="Times New Roman" w:hAnsi="Times New Roman" w:cs="Times New Roman"/>
          <w:bCs/>
          <w:sz w:val="24"/>
          <w:szCs w:val="24"/>
        </w:rPr>
        <w:t xml:space="preserve">se </w:t>
      </w:r>
      <w:r w:rsidR="00957CF6" w:rsidRPr="00C0186C">
        <w:rPr>
          <w:rFonts w:ascii="Times New Roman" w:hAnsi="Times New Roman" w:cs="Times New Roman"/>
          <w:bCs/>
          <w:sz w:val="24"/>
          <w:szCs w:val="24"/>
        </w:rPr>
        <w:t xml:space="preserve">odnose na pozitivne promjene u populacijskom kretanju stanovništva u </w:t>
      </w:r>
      <w:r w:rsidR="004D29E3" w:rsidRPr="00C0186C">
        <w:rPr>
          <w:rFonts w:ascii="Times New Roman" w:hAnsi="Times New Roman" w:cs="Times New Roman"/>
          <w:bCs/>
          <w:sz w:val="24"/>
          <w:szCs w:val="24"/>
        </w:rPr>
        <w:t>potpomognutim područjima</w:t>
      </w:r>
      <w:r w:rsidR="00957CF6" w:rsidRPr="00C0186C">
        <w:rPr>
          <w:rFonts w:ascii="Times New Roman" w:hAnsi="Times New Roman" w:cs="Times New Roman"/>
          <w:bCs/>
          <w:sz w:val="24"/>
          <w:szCs w:val="24"/>
        </w:rPr>
        <w:t>, poboljšanj</w:t>
      </w:r>
      <w:r w:rsidR="004D29E3" w:rsidRPr="00C0186C">
        <w:rPr>
          <w:rFonts w:ascii="Times New Roman" w:hAnsi="Times New Roman" w:cs="Times New Roman"/>
          <w:bCs/>
          <w:sz w:val="24"/>
          <w:szCs w:val="24"/>
        </w:rPr>
        <w:t>e</w:t>
      </w:r>
      <w:r w:rsidR="00957CF6" w:rsidRPr="00C0186C">
        <w:rPr>
          <w:rFonts w:ascii="Times New Roman" w:hAnsi="Times New Roman" w:cs="Times New Roman"/>
          <w:bCs/>
          <w:sz w:val="24"/>
          <w:szCs w:val="24"/>
        </w:rPr>
        <w:t xml:space="preserve"> njihovih starosnih i obrazovnih obilježja i unaprjeđenje kvalitete življenja.</w:t>
      </w:r>
    </w:p>
    <w:p w14:paraId="7A202D74" w14:textId="77777777" w:rsidR="00546A74" w:rsidRPr="00C0186C" w:rsidRDefault="00546A74" w:rsidP="00B70EE8">
      <w:pPr>
        <w:spacing w:before="0" w:after="0"/>
        <w:jc w:val="both"/>
        <w:rPr>
          <w:rFonts w:ascii="Times New Roman" w:hAnsi="Times New Roman" w:cs="Times New Roman"/>
          <w:bCs/>
          <w:sz w:val="24"/>
          <w:szCs w:val="24"/>
        </w:rPr>
      </w:pPr>
    </w:p>
    <w:p w14:paraId="3F7CAEFB" w14:textId="77777777" w:rsidR="003F5767" w:rsidRPr="00C0186C" w:rsidRDefault="003F5767" w:rsidP="00B70EE8">
      <w:pPr>
        <w:spacing w:before="0" w:after="0"/>
        <w:jc w:val="both"/>
        <w:rPr>
          <w:rFonts w:ascii="Times New Roman" w:hAnsi="Times New Roman" w:cs="Times New Roman"/>
          <w:bCs/>
          <w:sz w:val="24"/>
          <w:szCs w:val="24"/>
        </w:rPr>
      </w:pPr>
    </w:p>
    <w:p w14:paraId="2D51A621" w14:textId="77777777" w:rsidR="003F5767" w:rsidRPr="00C0186C" w:rsidRDefault="003F5767" w:rsidP="00B70EE8">
      <w:pPr>
        <w:spacing w:before="0" w:after="0"/>
        <w:jc w:val="both"/>
        <w:rPr>
          <w:rFonts w:ascii="Times New Roman" w:hAnsi="Times New Roman" w:cs="Times New Roman"/>
          <w:bCs/>
          <w:sz w:val="24"/>
          <w:szCs w:val="24"/>
        </w:rPr>
      </w:pPr>
    </w:p>
    <w:p w14:paraId="305F1CC0" w14:textId="77777777" w:rsidR="003F5767" w:rsidRPr="00C0186C" w:rsidRDefault="003F5767" w:rsidP="00B70EE8">
      <w:pPr>
        <w:spacing w:before="0" w:after="0"/>
        <w:jc w:val="both"/>
        <w:rPr>
          <w:rFonts w:ascii="Times New Roman" w:hAnsi="Times New Roman" w:cs="Times New Roman"/>
          <w:bCs/>
          <w:sz w:val="24"/>
          <w:szCs w:val="24"/>
        </w:rPr>
      </w:pPr>
    </w:p>
    <w:p w14:paraId="4BDEC6A5" w14:textId="77777777" w:rsidR="003F5767" w:rsidRPr="00C0186C" w:rsidRDefault="003F5767" w:rsidP="00B70EE8">
      <w:pPr>
        <w:spacing w:before="0" w:after="0"/>
        <w:jc w:val="both"/>
        <w:rPr>
          <w:rFonts w:ascii="Times New Roman" w:hAnsi="Times New Roman" w:cs="Times New Roman"/>
          <w:bCs/>
          <w:sz w:val="24"/>
          <w:szCs w:val="24"/>
        </w:rPr>
      </w:pPr>
    </w:p>
    <w:p w14:paraId="3C777A10" w14:textId="77777777" w:rsidR="003F5767" w:rsidRPr="00C0186C" w:rsidRDefault="003F5767" w:rsidP="00B70EE8">
      <w:pPr>
        <w:spacing w:before="0" w:after="0"/>
        <w:jc w:val="both"/>
        <w:rPr>
          <w:rFonts w:ascii="Times New Roman" w:hAnsi="Times New Roman" w:cs="Times New Roman"/>
          <w:bCs/>
          <w:sz w:val="24"/>
          <w:szCs w:val="24"/>
        </w:rPr>
      </w:pPr>
    </w:p>
    <w:p w14:paraId="4E9294A6" w14:textId="77777777" w:rsidR="003F5767" w:rsidRPr="00C0186C" w:rsidRDefault="003F5767" w:rsidP="00B70EE8">
      <w:pPr>
        <w:spacing w:before="0" w:after="0"/>
        <w:jc w:val="both"/>
        <w:rPr>
          <w:rFonts w:ascii="Times New Roman" w:hAnsi="Times New Roman" w:cs="Times New Roman"/>
          <w:bCs/>
          <w:sz w:val="24"/>
          <w:szCs w:val="24"/>
        </w:rPr>
      </w:pPr>
    </w:p>
    <w:p w14:paraId="685D802A" w14:textId="77777777" w:rsidR="003F5767" w:rsidRPr="00C0186C" w:rsidRDefault="003F5767" w:rsidP="00B70EE8">
      <w:pPr>
        <w:spacing w:before="0" w:after="0"/>
        <w:jc w:val="both"/>
        <w:rPr>
          <w:rFonts w:ascii="Times New Roman" w:hAnsi="Times New Roman" w:cs="Times New Roman"/>
          <w:bCs/>
          <w:sz w:val="24"/>
          <w:szCs w:val="24"/>
        </w:rPr>
      </w:pPr>
    </w:p>
    <w:p w14:paraId="660ABF9F" w14:textId="77777777" w:rsidR="003F5767" w:rsidRPr="00C0186C" w:rsidRDefault="003F5767" w:rsidP="00B70EE8">
      <w:pPr>
        <w:spacing w:before="0" w:after="0"/>
        <w:jc w:val="both"/>
        <w:rPr>
          <w:rFonts w:ascii="Times New Roman" w:hAnsi="Times New Roman" w:cs="Times New Roman"/>
          <w:bCs/>
          <w:sz w:val="24"/>
          <w:szCs w:val="24"/>
        </w:rPr>
      </w:pPr>
    </w:p>
    <w:p w14:paraId="456613F9" w14:textId="77777777" w:rsidR="003F5767" w:rsidRPr="00C0186C" w:rsidRDefault="003F5767" w:rsidP="00B70EE8">
      <w:pPr>
        <w:spacing w:before="0" w:after="0"/>
        <w:jc w:val="both"/>
        <w:rPr>
          <w:rFonts w:ascii="Times New Roman" w:hAnsi="Times New Roman" w:cs="Times New Roman"/>
          <w:bCs/>
          <w:sz w:val="24"/>
          <w:szCs w:val="24"/>
        </w:rPr>
      </w:pPr>
    </w:p>
    <w:p w14:paraId="78190FCB" w14:textId="77777777" w:rsidR="003F5767" w:rsidRPr="00C0186C" w:rsidRDefault="003F5767" w:rsidP="00B70EE8">
      <w:pPr>
        <w:spacing w:before="0" w:after="0"/>
        <w:jc w:val="both"/>
        <w:rPr>
          <w:rFonts w:ascii="Times New Roman" w:hAnsi="Times New Roman" w:cs="Times New Roman"/>
          <w:bCs/>
          <w:sz w:val="24"/>
          <w:szCs w:val="24"/>
        </w:rPr>
      </w:pPr>
    </w:p>
    <w:p w14:paraId="747FE4DD" w14:textId="77777777" w:rsidR="003F5767" w:rsidRPr="00C0186C" w:rsidRDefault="003F5767" w:rsidP="00B70EE8">
      <w:pPr>
        <w:spacing w:before="0" w:after="0"/>
        <w:jc w:val="both"/>
        <w:rPr>
          <w:rFonts w:ascii="Times New Roman" w:hAnsi="Times New Roman" w:cs="Times New Roman"/>
          <w:bCs/>
          <w:sz w:val="24"/>
          <w:szCs w:val="24"/>
        </w:rPr>
      </w:pPr>
    </w:p>
    <w:p w14:paraId="697BF7E1" w14:textId="77777777" w:rsidR="003F5767" w:rsidRPr="00C0186C" w:rsidRDefault="003F5767" w:rsidP="00B70EE8">
      <w:pPr>
        <w:spacing w:before="0" w:after="0"/>
        <w:jc w:val="both"/>
        <w:rPr>
          <w:rFonts w:ascii="Times New Roman" w:hAnsi="Times New Roman" w:cs="Times New Roman"/>
          <w:bCs/>
          <w:sz w:val="24"/>
          <w:szCs w:val="24"/>
        </w:rPr>
      </w:pPr>
    </w:p>
    <w:p w14:paraId="53E16DD8" w14:textId="77777777" w:rsidR="003F5767" w:rsidRPr="00C0186C" w:rsidRDefault="003F5767" w:rsidP="00B70EE8">
      <w:pPr>
        <w:spacing w:before="0" w:after="0"/>
        <w:jc w:val="both"/>
        <w:rPr>
          <w:rFonts w:ascii="Times New Roman" w:hAnsi="Times New Roman" w:cs="Times New Roman"/>
          <w:bCs/>
          <w:sz w:val="24"/>
          <w:szCs w:val="24"/>
        </w:rPr>
      </w:pPr>
    </w:p>
    <w:p w14:paraId="0A3FE205" w14:textId="792BB77F" w:rsidR="003F5767" w:rsidRDefault="003F5767" w:rsidP="00B70EE8">
      <w:pPr>
        <w:spacing w:before="0" w:after="0"/>
        <w:jc w:val="both"/>
        <w:rPr>
          <w:rFonts w:ascii="Times New Roman" w:hAnsi="Times New Roman" w:cs="Times New Roman"/>
          <w:bCs/>
          <w:sz w:val="24"/>
          <w:szCs w:val="24"/>
        </w:rPr>
      </w:pPr>
    </w:p>
    <w:p w14:paraId="1D2B6F8F" w14:textId="2663947F" w:rsidR="005A0B09" w:rsidRDefault="005A0B09" w:rsidP="00B70EE8">
      <w:pPr>
        <w:spacing w:before="0" w:after="0"/>
        <w:jc w:val="both"/>
        <w:rPr>
          <w:rFonts w:ascii="Times New Roman" w:hAnsi="Times New Roman" w:cs="Times New Roman"/>
          <w:bCs/>
          <w:sz w:val="24"/>
          <w:szCs w:val="24"/>
        </w:rPr>
      </w:pPr>
    </w:p>
    <w:p w14:paraId="554493EB" w14:textId="77777777" w:rsidR="005A0B09" w:rsidRPr="00C0186C" w:rsidRDefault="005A0B09" w:rsidP="00B70EE8">
      <w:pPr>
        <w:spacing w:before="0" w:after="0"/>
        <w:jc w:val="both"/>
        <w:rPr>
          <w:rFonts w:ascii="Times New Roman" w:hAnsi="Times New Roman" w:cs="Times New Roman"/>
          <w:bCs/>
          <w:sz w:val="24"/>
          <w:szCs w:val="24"/>
        </w:rPr>
      </w:pPr>
    </w:p>
    <w:p w14:paraId="7C88E75B" w14:textId="77777777" w:rsidR="003F5767" w:rsidRPr="00C0186C" w:rsidRDefault="003F5767" w:rsidP="00B70EE8">
      <w:pPr>
        <w:spacing w:before="0" w:after="0"/>
        <w:jc w:val="both"/>
        <w:rPr>
          <w:rFonts w:ascii="Times New Roman" w:hAnsi="Times New Roman" w:cs="Times New Roman"/>
          <w:bCs/>
          <w:sz w:val="24"/>
          <w:szCs w:val="24"/>
        </w:rPr>
      </w:pPr>
    </w:p>
    <w:p w14:paraId="2B20947B" w14:textId="0E46BE0B" w:rsidR="007B2688" w:rsidRPr="00C31039" w:rsidRDefault="0042063A" w:rsidP="0042063A">
      <w:pPr>
        <w:pStyle w:val="Heading1"/>
        <w:numPr>
          <w:ilvl w:val="0"/>
          <w:numId w:val="42"/>
        </w:numPr>
        <w:shd w:val="clear" w:color="auto" w:fill="DEEAF6" w:themeFill="accent1" w:themeFillTint="33"/>
        <w:tabs>
          <w:tab w:val="left" w:pos="426"/>
        </w:tabs>
        <w:spacing w:before="0"/>
        <w:ind w:left="709" w:hanging="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16" w:name="_Toc95891862"/>
      <w:r w:rsidR="00B40319" w:rsidRPr="00C0186C">
        <w:rPr>
          <w:rFonts w:ascii="Times New Roman" w:hAnsi="Times New Roman" w:cs="Times New Roman"/>
          <w:b/>
          <w:bCs/>
          <w:color w:val="auto"/>
          <w:sz w:val="28"/>
          <w:szCs w:val="28"/>
        </w:rPr>
        <w:t>MJERE I AKTIVNOST</w:t>
      </w:r>
      <w:r w:rsidR="00C31039">
        <w:rPr>
          <w:rFonts w:ascii="Times New Roman" w:hAnsi="Times New Roman" w:cs="Times New Roman"/>
          <w:b/>
          <w:bCs/>
          <w:color w:val="auto"/>
          <w:sz w:val="28"/>
          <w:szCs w:val="28"/>
        </w:rPr>
        <w:t>I</w:t>
      </w:r>
      <w:bookmarkEnd w:id="16"/>
    </w:p>
    <w:p w14:paraId="1BED076E" w14:textId="77777777" w:rsidR="00D43187" w:rsidRPr="00C31039" w:rsidRDefault="00D43187" w:rsidP="00C31039">
      <w:pPr>
        <w:spacing w:before="0" w:after="0"/>
        <w:jc w:val="both"/>
        <w:rPr>
          <w:rFonts w:ascii="Times New Roman" w:hAnsi="Times New Roman" w:cs="Times New Roman"/>
          <w:b/>
          <w:sz w:val="24"/>
          <w:szCs w:val="24"/>
        </w:rPr>
      </w:pPr>
    </w:p>
    <w:p w14:paraId="6F42CB25" w14:textId="77777777" w:rsidR="007B2688" w:rsidRPr="00C0186C" w:rsidRDefault="007B2688"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U okviru ovog poglavlj</w:t>
      </w:r>
      <w:r w:rsidR="004D29E3" w:rsidRPr="00C0186C">
        <w:rPr>
          <w:rFonts w:ascii="Times New Roman" w:hAnsi="Times New Roman" w:cs="Times New Roman"/>
          <w:sz w:val="24"/>
          <w:szCs w:val="24"/>
        </w:rPr>
        <w:t>a</w:t>
      </w:r>
      <w:r w:rsidRPr="00C0186C">
        <w:rPr>
          <w:rFonts w:ascii="Times New Roman" w:hAnsi="Times New Roman" w:cs="Times New Roman"/>
          <w:sz w:val="24"/>
          <w:szCs w:val="24"/>
        </w:rPr>
        <w:t xml:space="preserve"> prikazane su mjere</w:t>
      </w:r>
      <w:r w:rsidR="0039439D" w:rsidRPr="00C0186C">
        <w:rPr>
          <w:rFonts w:ascii="Times New Roman" w:hAnsi="Times New Roman" w:cs="Times New Roman"/>
          <w:sz w:val="24"/>
          <w:szCs w:val="24"/>
        </w:rPr>
        <w:t xml:space="preserve"> poticanja razvoja </w:t>
      </w:r>
      <w:r w:rsidRPr="00C0186C">
        <w:rPr>
          <w:rFonts w:ascii="Times New Roman" w:hAnsi="Times New Roman" w:cs="Times New Roman"/>
          <w:sz w:val="24"/>
          <w:szCs w:val="24"/>
        </w:rPr>
        <w:t>PP</w:t>
      </w:r>
      <w:r w:rsidR="004D29E3" w:rsidRPr="00C0186C">
        <w:rPr>
          <w:rFonts w:ascii="Times New Roman" w:hAnsi="Times New Roman" w:cs="Times New Roman"/>
          <w:sz w:val="24"/>
          <w:szCs w:val="24"/>
        </w:rPr>
        <w:t>-a</w:t>
      </w:r>
      <w:r w:rsidRPr="00C0186C">
        <w:rPr>
          <w:rFonts w:ascii="Times New Roman" w:hAnsi="Times New Roman" w:cs="Times New Roman"/>
          <w:sz w:val="24"/>
          <w:szCs w:val="24"/>
        </w:rPr>
        <w:t xml:space="preserve"> čiji se ishodi sagledavaju u sustavu strateških ciljeva nacionalnog, regionalnog i područnog razvoja Republike Hrvatske, te s aspekta realizacije u prethodnom poglavlju </w:t>
      </w:r>
      <w:r w:rsidR="00967267" w:rsidRPr="00C0186C">
        <w:rPr>
          <w:rFonts w:ascii="Times New Roman" w:hAnsi="Times New Roman" w:cs="Times New Roman"/>
          <w:sz w:val="24"/>
          <w:szCs w:val="24"/>
        </w:rPr>
        <w:t>navedenih</w:t>
      </w:r>
      <w:r w:rsidRPr="00C0186C">
        <w:rPr>
          <w:rFonts w:ascii="Times New Roman" w:hAnsi="Times New Roman" w:cs="Times New Roman"/>
          <w:sz w:val="24"/>
          <w:szCs w:val="24"/>
        </w:rPr>
        <w:t xml:space="preserve"> stratešk</w:t>
      </w:r>
      <w:r w:rsidR="00967267" w:rsidRPr="00C0186C">
        <w:rPr>
          <w:rFonts w:ascii="Times New Roman" w:hAnsi="Times New Roman" w:cs="Times New Roman"/>
          <w:sz w:val="24"/>
          <w:szCs w:val="24"/>
        </w:rPr>
        <w:t xml:space="preserve">ih </w:t>
      </w:r>
      <w:r w:rsidRPr="00C0186C">
        <w:rPr>
          <w:rFonts w:ascii="Times New Roman" w:hAnsi="Times New Roman" w:cs="Times New Roman"/>
          <w:sz w:val="24"/>
          <w:szCs w:val="24"/>
        </w:rPr>
        <w:t>cilj</w:t>
      </w:r>
      <w:r w:rsidR="004D29E3" w:rsidRPr="00C0186C">
        <w:rPr>
          <w:rFonts w:ascii="Times New Roman" w:hAnsi="Times New Roman" w:cs="Times New Roman"/>
          <w:sz w:val="24"/>
          <w:szCs w:val="24"/>
        </w:rPr>
        <w:t>eva</w:t>
      </w:r>
      <w:r w:rsidRPr="00C0186C">
        <w:rPr>
          <w:rFonts w:ascii="Times New Roman" w:hAnsi="Times New Roman" w:cs="Times New Roman"/>
          <w:sz w:val="24"/>
          <w:szCs w:val="24"/>
        </w:rPr>
        <w:t xml:space="preserve"> ovog Programa. Za svaku grupu mjera predložene su i obrazložene aktivnosti za koje je u razdoblju provedbe ovog Programa procijenjeno da </w:t>
      </w:r>
      <w:r w:rsidR="0039439D" w:rsidRPr="00C0186C">
        <w:rPr>
          <w:rFonts w:ascii="Times New Roman" w:hAnsi="Times New Roman" w:cs="Times New Roman"/>
          <w:sz w:val="24"/>
          <w:szCs w:val="24"/>
        </w:rPr>
        <w:t xml:space="preserve">će doprinijeti bržem razvoju </w:t>
      </w:r>
      <w:r w:rsidRPr="00C0186C">
        <w:rPr>
          <w:rFonts w:ascii="Times New Roman" w:hAnsi="Times New Roman" w:cs="Times New Roman"/>
          <w:sz w:val="24"/>
          <w:szCs w:val="24"/>
        </w:rPr>
        <w:t>PP</w:t>
      </w:r>
      <w:r w:rsidR="004D29E3" w:rsidRPr="00C0186C">
        <w:rPr>
          <w:rFonts w:ascii="Times New Roman" w:hAnsi="Times New Roman" w:cs="Times New Roman"/>
          <w:sz w:val="24"/>
          <w:szCs w:val="24"/>
        </w:rPr>
        <w:t>-a</w:t>
      </w:r>
      <w:r w:rsidRPr="00C0186C">
        <w:rPr>
          <w:rFonts w:ascii="Times New Roman" w:hAnsi="Times New Roman" w:cs="Times New Roman"/>
          <w:sz w:val="24"/>
          <w:szCs w:val="24"/>
        </w:rPr>
        <w:t>.</w:t>
      </w:r>
    </w:p>
    <w:p w14:paraId="70782F84" w14:textId="77777777" w:rsidR="007B2688" w:rsidRPr="00C0186C" w:rsidRDefault="007B2688" w:rsidP="00B70EE8">
      <w:pPr>
        <w:spacing w:before="0" w:after="0"/>
        <w:jc w:val="both"/>
        <w:rPr>
          <w:rFonts w:ascii="Times New Roman" w:hAnsi="Times New Roman" w:cs="Times New Roman"/>
          <w:sz w:val="24"/>
          <w:szCs w:val="24"/>
        </w:rPr>
      </w:pPr>
    </w:p>
    <w:p w14:paraId="4DC3DC81" w14:textId="77777777" w:rsidR="007B2688" w:rsidRPr="00C0186C" w:rsidRDefault="007B2688" w:rsidP="00B70EE8">
      <w:pPr>
        <w:spacing w:before="0" w:after="0"/>
        <w:jc w:val="both"/>
        <w:rPr>
          <w:rFonts w:ascii="Times New Roman" w:hAnsi="Times New Roman" w:cs="Times New Roman"/>
          <w:strike/>
          <w:sz w:val="24"/>
          <w:szCs w:val="24"/>
        </w:rPr>
      </w:pPr>
      <w:r w:rsidRPr="00C0186C">
        <w:rPr>
          <w:rFonts w:ascii="Times New Roman" w:hAnsi="Times New Roman" w:cs="Times New Roman"/>
          <w:sz w:val="24"/>
          <w:szCs w:val="24"/>
        </w:rPr>
        <w:t xml:space="preserve">Iako je MRRFEU zaduženo za izradu, provedbu i koordinaciju Programa, uspješnost njegove realizacije ovisi i o ostalim tijelima državne uprave, što je razumljivo s obzirom na potrebna područja djelovanja. </w:t>
      </w:r>
    </w:p>
    <w:p w14:paraId="6DEF1CF3" w14:textId="77777777" w:rsidR="007B2688" w:rsidRPr="00C0186C" w:rsidRDefault="007B2688" w:rsidP="00B70EE8">
      <w:pPr>
        <w:spacing w:before="0" w:after="0"/>
        <w:jc w:val="both"/>
        <w:rPr>
          <w:rFonts w:ascii="Times New Roman" w:hAnsi="Times New Roman" w:cs="Times New Roman"/>
          <w:sz w:val="24"/>
          <w:szCs w:val="24"/>
        </w:rPr>
      </w:pPr>
    </w:p>
    <w:p w14:paraId="09367930" w14:textId="77777777" w:rsidR="007B2688" w:rsidRPr="00C0186C" w:rsidRDefault="000267D5" w:rsidP="00B70EE8">
      <w:pPr>
        <w:pStyle w:val="Heading2"/>
        <w:spacing w:before="0"/>
        <w:rPr>
          <w:rFonts w:ascii="Times New Roman" w:hAnsi="Times New Roman" w:cs="Times New Roman"/>
          <w:b/>
          <w:bCs/>
          <w:sz w:val="24"/>
          <w:szCs w:val="24"/>
        </w:rPr>
      </w:pPr>
      <w:bookmarkStart w:id="17" w:name="_Toc95891863"/>
      <w:r w:rsidRPr="00C0186C">
        <w:rPr>
          <w:rFonts w:ascii="Times New Roman" w:hAnsi="Times New Roman" w:cs="Times New Roman"/>
          <w:b/>
          <w:bCs/>
          <w:sz w:val="24"/>
          <w:szCs w:val="24"/>
        </w:rPr>
        <w:t>5.1</w:t>
      </w:r>
      <w:r w:rsidR="00C17B5C" w:rsidRPr="00C0186C">
        <w:rPr>
          <w:rFonts w:ascii="Times New Roman" w:hAnsi="Times New Roman" w:cs="Times New Roman"/>
          <w:b/>
          <w:bCs/>
          <w:sz w:val="24"/>
          <w:szCs w:val="24"/>
        </w:rPr>
        <w:t>. MJERE PROGRAMA</w:t>
      </w:r>
      <w:bookmarkEnd w:id="17"/>
    </w:p>
    <w:p w14:paraId="09D3D0ED" w14:textId="77777777" w:rsidR="00D43187" w:rsidRPr="00C0186C" w:rsidRDefault="00D43187" w:rsidP="00B70EE8">
      <w:pPr>
        <w:spacing w:before="0" w:after="0"/>
        <w:jc w:val="both"/>
        <w:rPr>
          <w:rFonts w:ascii="Times New Roman" w:hAnsi="Times New Roman" w:cs="Times New Roman"/>
          <w:b/>
          <w:bCs/>
          <w:sz w:val="24"/>
          <w:szCs w:val="24"/>
        </w:rPr>
      </w:pPr>
    </w:p>
    <w:p w14:paraId="1E02C733" w14:textId="13CE2579" w:rsidR="00C10A6B" w:rsidRPr="00C0186C" w:rsidRDefault="007B2688"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 xml:space="preserve">Temeljem Zakona o </w:t>
      </w:r>
      <w:r w:rsidR="00440B01" w:rsidRPr="00C0186C">
        <w:rPr>
          <w:rFonts w:ascii="Times New Roman" w:hAnsi="Times New Roman" w:cs="Times New Roman"/>
          <w:sz w:val="24"/>
          <w:szCs w:val="24"/>
        </w:rPr>
        <w:t>potpomognutim područjima</w:t>
      </w:r>
      <w:r w:rsidRPr="00C0186C">
        <w:rPr>
          <w:rFonts w:ascii="Times New Roman" w:hAnsi="Times New Roman" w:cs="Times New Roman"/>
          <w:sz w:val="24"/>
          <w:szCs w:val="24"/>
          <w:vertAlign w:val="superscript"/>
        </w:rPr>
        <w:footnoteReference w:id="9"/>
      </w:r>
      <w:r w:rsidR="00440B01" w:rsidRPr="00C0186C">
        <w:rPr>
          <w:rFonts w:ascii="Times New Roman" w:hAnsi="Times New Roman" w:cs="Times New Roman"/>
          <w:sz w:val="24"/>
          <w:szCs w:val="24"/>
        </w:rPr>
        <w:t xml:space="preserve">, </w:t>
      </w:r>
      <w:r w:rsidRPr="00C0186C">
        <w:rPr>
          <w:rFonts w:ascii="Times New Roman" w:hAnsi="Times New Roman" w:cs="Times New Roman"/>
          <w:sz w:val="24"/>
          <w:szCs w:val="24"/>
        </w:rPr>
        <w:t xml:space="preserve">u okviru ovog Programa definira se </w:t>
      </w:r>
      <w:r w:rsidR="00FD5F45" w:rsidRPr="00C0186C">
        <w:rPr>
          <w:rFonts w:ascii="Times New Roman" w:hAnsi="Times New Roman" w:cs="Times New Roman"/>
          <w:sz w:val="24"/>
          <w:szCs w:val="24"/>
        </w:rPr>
        <w:t xml:space="preserve">sedam </w:t>
      </w:r>
      <w:r w:rsidR="00656CF5" w:rsidRPr="00C0186C">
        <w:rPr>
          <w:rFonts w:ascii="Times New Roman" w:hAnsi="Times New Roman" w:cs="Times New Roman"/>
          <w:sz w:val="24"/>
          <w:szCs w:val="24"/>
        </w:rPr>
        <w:t>skupina poticajnih mjera:</w:t>
      </w:r>
      <w:r w:rsidRPr="00C0186C">
        <w:rPr>
          <w:rFonts w:ascii="Times New Roman" w:hAnsi="Times New Roman" w:cs="Times New Roman"/>
          <w:sz w:val="24"/>
          <w:szCs w:val="24"/>
        </w:rPr>
        <w:t xml:space="preserve"> gospodarske, socijalne, </w:t>
      </w:r>
      <w:r w:rsidR="00DF5CF5" w:rsidRPr="00C0186C">
        <w:rPr>
          <w:rFonts w:ascii="Times New Roman" w:hAnsi="Times New Roman" w:cs="Times New Roman"/>
          <w:sz w:val="24"/>
          <w:szCs w:val="24"/>
        </w:rPr>
        <w:t xml:space="preserve">fiskalne, demografske, mjere stambenog zbrinjavanja, </w:t>
      </w:r>
      <w:r w:rsidRPr="00C0186C">
        <w:rPr>
          <w:rFonts w:ascii="Times New Roman" w:hAnsi="Times New Roman" w:cs="Times New Roman"/>
          <w:sz w:val="24"/>
          <w:szCs w:val="24"/>
        </w:rPr>
        <w:t>mjere jačanja administrativnih kapacitet</w:t>
      </w:r>
      <w:r w:rsidR="00DF5CF5" w:rsidRPr="00C0186C">
        <w:rPr>
          <w:rFonts w:ascii="Times New Roman" w:hAnsi="Times New Roman" w:cs="Times New Roman"/>
          <w:sz w:val="24"/>
          <w:szCs w:val="24"/>
        </w:rPr>
        <w:t xml:space="preserve">a za učinkovit i održiv razvoj </w:t>
      </w:r>
      <w:r w:rsidRPr="00C0186C">
        <w:rPr>
          <w:rFonts w:ascii="Times New Roman" w:hAnsi="Times New Roman" w:cs="Times New Roman"/>
          <w:sz w:val="24"/>
          <w:szCs w:val="24"/>
        </w:rPr>
        <w:t>PP</w:t>
      </w:r>
      <w:r w:rsidR="004D29E3" w:rsidRPr="00C0186C">
        <w:rPr>
          <w:rFonts w:ascii="Times New Roman" w:hAnsi="Times New Roman" w:cs="Times New Roman"/>
          <w:sz w:val="24"/>
          <w:szCs w:val="24"/>
        </w:rPr>
        <w:t>-a</w:t>
      </w:r>
      <w:r w:rsidRPr="00C0186C">
        <w:rPr>
          <w:rFonts w:ascii="Times New Roman" w:hAnsi="Times New Roman" w:cs="Times New Roman"/>
          <w:sz w:val="24"/>
          <w:szCs w:val="24"/>
        </w:rPr>
        <w:t xml:space="preserve">, te mjere za provedbu programa integriranih teritorijalnih ulaganja. </w:t>
      </w:r>
      <w:r w:rsidR="005E21AB" w:rsidRPr="00C0186C">
        <w:rPr>
          <w:rFonts w:ascii="Times New Roman" w:hAnsi="Times New Roman" w:cs="Times New Roman"/>
          <w:sz w:val="24"/>
          <w:szCs w:val="24"/>
        </w:rPr>
        <w:t xml:space="preserve">Ovako definirane skupine mjera predstavljaju polazište za oblikovanje konkretnih, pojedinačnih mjera, te grupa aktivnosti i projekata koje su pretpostavka za uspješnu provedbu i realizaciju ciljeva Programa: </w:t>
      </w:r>
      <w:r w:rsidR="005E21AB" w:rsidRPr="00C0186C">
        <w:rPr>
          <w:rFonts w:ascii="Times New Roman" w:hAnsi="Times New Roman" w:cs="Times New Roman"/>
          <w:b/>
          <w:sz w:val="24"/>
          <w:szCs w:val="24"/>
        </w:rPr>
        <w:t xml:space="preserve">povećanje zaposlenosti i dohotka te demografska revitalizacija. </w:t>
      </w:r>
      <w:r w:rsidR="005E21AB" w:rsidRPr="00C0186C">
        <w:rPr>
          <w:rFonts w:ascii="Times New Roman" w:hAnsi="Times New Roman" w:cs="Times New Roman"/>
          <w:bCs/>
          <w:sz w:val="24"/>
          <w:szCs w:val="24"/>
        </w:rPr>
        <w:t>S obzirom da</w:t>
      </w:r>
      <w:r w:rsidR="005E21AB" w:rsidRPr="00C0186C">
        <w:rPr>
          <w:rFonts w:ascii="Times New Roman" w:hAnsi="Times New Roman" w:cs="Times New Roman"/>
          <w:sz w:val="24"/>
          <w:szCs w:val="24"/>
        </w:rPr>
        <w:t xml:space="preserve"> se radi o Programu čija će se provedba detaljno aktivirati kroz </w:t>
      </w:r>
      <w:r w:rsidR="002B0BD5" w:rsidRPr="00C0186C">
        <w:rPr>
          <w:rFonts w:ascii="Times New Roman" w:hAnsi="Times New Roman" w:cs="Times New Roman"/>
          <w:sz w:val="24"/>
          <w:szCs w:val="24"/>
        </w:rPr>
        <w:t xml:space="preserve">Godišnji plan provedbe Programa, </w:t>
      </w:r>
      <w:r w:rsidR="005E21AB" w:rsidRPr="00C0186C">
        <w:rPr>
          <w:rFonts w:ascii="Times New Roman" w:hAnsi="Times New Roman" w:cs="Times New Roman"/>
          <w:sz w:val="24"/>
          <w:szCs w:val="24"/>
        </w:rPr>
        <w:t>ne samo na razini MRRFEU</w:t>
      </w:r>
      <w:r w:rsidR="004D29E3" w:rsidRPr="00C0186C">
        <w:rPr>
          <w:rFonts w:ascii="Times New Roman" w:hAnsi="Times New Roman" w:cs="Times New Roman"/>
          <w:sz w:val="24"/>
          <w:szCs w:val="24"/>
        </w:rPr>
        <w:t>-a</w:t>
      </w:r>
      <w:r w:rsidR="005E21AB" w:rsidRPr="00C0186C">
        <w:rPr>
          <w:rFonts w:ascii="Times New Roman" w:hAnsi="Times New Roman" w:cs="Times New Roman"/>
          <w:sz w:val="24"/>
          <w:szCs w:val="24"/>
        </w:rPr>
        <w:t xml:space="preserve"> već i svih drugih nadležnih institucija i tijela zaduženih za teritorijalni razvoj Republike Hrvatske, prijedlog mjera te grupa aktivnosti i projekata postavljen je prema kriteriju šireg obuhvata. </w:t>
      </w:r>
      <w:r w:rsidR="005E21AB" w:rsidRPr="0031056B">
        <w:rPr>
          <w:rFonts w:ascii="Times New Roman" w:hAnsi="Times New Roman" w:cs="Times New Roman"/>
          <w:sz w:val="24"/>
          <w:szCs w:val="24"/>
        </w:rPr>
        <w:t xml:space="preserve">Time se osigurava fleksibilnost u provedbi Programa, kako s aspekta pozivnih natječaja i mogućnosti apliciranja od strane </w:t>
      </w:r>
      <w:r w:rsidR="007038CF" w:rsidRPr="0031056B">
        <w:rPr>
          <w:rFonts w:ascii="Times New Roman" w:hAnsi="Times New Roman" w:cs="Times New Roman"/>
          <w:sz w:val="24"/>
          <w:szCs w:val="24"/>
        </w:rPr>
        <w:t>JLS</w:t>
      </w:r>
      <w:r w:rsidR="00B1238A" w:rsidRPr="0031056B">
        <w:rPr>
          <w:rFonts w:ascii="Times New Roman" w:hAnsi="Times New Roman" w:cs="Times New Roman"/>
          <w:sz w:val="24"/>
          <w:szCs w:val="24"/>
        </w:rPr>
        <w:t>-ova</w:t>
      </w:r>
      <w:r w:rsidR="005E21AB" w:rsidRPr="0031056B">
        <w:rPr>
          <w:rFonts w:ascii="Times New Roman" w:hAnsi="Times New Roman" w:cs="Times New Roman"/>
          <w:sz w:val="24"/>
          <w:szCs w:val="24"/>
        </w:rPr>
        <w:t xml:space="preserve"> na </w:t>
      </w:r>
      <w:r w:rsidR="00B1238A" w:rsidRPr="0031056B">
        <w:rPr>
          <w:rFonts w:ascii="Times New Roman" w:hAnsi="Times New Roman" w:cs="Times New Roman"/>
          <w:sz w:val="24"/>
          <w:szCs w:val="24"/>
        </w:rPr>
        <w:t>potpomognutim područjima</w:t>
      </w:r>
      <w:r w:rsidR="005E21AB" w:rsidRPr="0031056B">
        <w:rPr>
          <w:rFonts w:ascii="Times New Roman" w:hAnsi="Times New Roman" w:cs="Times New Roman"/>
          <w:sz w:val="24"/>
          <w:szCs w:val="24"/>
        </w:rPr>
        <w:t xml:space="preserve">, tako i s aspekta intenziteta potpora u provođenju pojedinih mjera i prema pojedinim skupinama </w:t>
      </w:r>
      <w:r w:rsidR="007038CF" w:rsidRPr="0031056B">
        <w:rPr>
          <w:rFonts w:ascii="Times New Roman" w:hAnsi="Times New Roman" w:cs="Times New Roman"/>
          <w:sz w:val="24"/>
          <w:szCs w:val="24"/>
        </w:rPr>
        <w:t>JLS</w:t>
      </w:r>
      <w:r w:rsidR="00B1238A" w:rsidRPr="0031056B">
        <w:rPr>
          <w:rFonts w:ascii="Times New Roman" w:hAnsi="Times New Roman" w:cs="Times New Roman"/>
          <w:sz w:val="24"/>
          <w:szCs w:val="24"/>
        </w:rPr>
        <w:t>-ova</w:t>
      </w:r>
      <w:r w:rsidR="005E21AB" w:rsidRPr="0031056B">
        <w:rPr>
          <w:rFonts w:ascii="Times New Roman" w:hAnsi="Times New Roman" w:cs="Times New Roman"/>
          <w:sz w:val="24"/>
          <w:szCs w:val="24"/>
        </w:rPr>
        <w:t xml:space="preserve"> sa statusom PP</w:t>
      </w:r>
      <w:r w:rsidR="00B1238A" w:rsidRPr="0031056B">
        <w:rPr>
          <w:rFonts w:ascii="Times New Roman" w:hAnsi="Times New Roman" w:cs="Times New Roman"/>
          <w:sz w:val="24"/>
          <w:szCs w:val="24"/>
        </w:rPr>
        <w:t>-a</w:t>
      </w:r>
      <w:r w:rsidR="005E21AB" w:rsidRPr="0031056B">
        <w:rPr>
          <w:rFonts w:ascii="Times New Roman" w:hAnsi="Times New Roman" w:cs="Times New Roman"/>
          <w:sz w:val="24"/>
          <w:szCs w:val="24"/>
        </w:rPr>
        <w:t xml:space="preserve"> i njihovim razvojnim prioritetima.</w:t>
      </w:r>
      <w:r w:rsidR="005E21AB" w:rsidRPr="00C0186C">
        <w:rPr>
          <w:rFonts w:ascii="Times New Roman" w:hAnsi="Times New Roman" w:cs="Times New Roman"/>
          <w:sz w:val="24"/>
          <w:szCs w:val="24"/>
        </w:rPr>
        <w:t xml:space="preserve"> </w:t>
      </w:r>
      <w:r w:rsidR="00C10A6B" w:rsidRPr="00C0186C">
        <w:rPr>
          <w:rFonts w:ascii="Times New Roman" w:hAnsi="Times New Roman" w:cs="Times New Roman"/>
          <w:sz w:val="24"/>
          <w:szCs w:val="24"/>
        </w:rPr>
        <w:t xml:space="preserve">Također treba napomenuti da, budući će mjere ovog Programa  provoditi tijela državne uprave u skladu s svojim provedbenim programima, Godišnjim planom provedbe programa, te osiguranim sredstvima, nositelji provedbe i izvori financiranja nisu specificirani u okviru prijedloga pojedinih </w:t>
      </w:r>
      <w:r w:rsidR="00C10A6B" w:rsidRPr="00DA5109">
        <w:rPr>
          <w:rFonts w:ascii="Times New Roman" w:hAnsi="Times New Roman" w:cs="Times New Roman"/>
          <w:sz w:val="24"/>
          <w:szCs w:val="24"/>
        </w:rPr>
        <w:t xml:space="preserve">mjera. </w:t>
      </w:r>
      <w:r w:rsidR="007668B1" w:rsidRPr="00DA5109">
        <w:rPr>
          <w:rFonts w:ascii="Times New Roman" w:hAnsi="Times New Roman" w:cs="Times New Roman"/>
          <w:sz w:val="24"/>
          <w:szCs w:val="24"/>
        </w:rPr>
        <w:t xml:space="preserve">Prilikom izrade Godišnjeg plana provedbe Programa sva tijela državne uprave dužna su sve mjere iz svoje nadležnosti planirati u okviru svojih limita ukupnih rashoda te mjere za koje nije moguće osigurati sredstva odgoditi za buduće razdoblje. </w:t>
      </w:r>
      <w:r w:rsidR="00C10A6B" w:rsidRPr="00DA5109">
        <w:rPr>
          <w:rFonts w:ascii="Times New Roman" w:hAnsi="Times New Roman" w:cs="Times New Roman"/>
          <w:sz w:val="24"/>
          <w:szCs w:val="24"/>
        </w:rPr>
        <w:t>Oni će biti definirani Godišnjim</w:t>
      </w:r>
      <w:r w:rsidR="00C10A6B" w:rsidRPr="00C0186C">
        <w:rPr>
          <w:rFonts w:ascii="Times New Roman" w:hAnsi="Times New Roman" w:cs="Times New Roman"/>
          <w:sz w:val="24"/>
          <w:szCs w:val="24"/>
        </w:rPr>
        <w:t xml:space="preserve"> planom provedbe programa.</w:t>
      </w:r>
      <w:r w:rsidR="00A93389" w:rsidRPr="00C0186C">
        <w:rPr>
          <w:rFonts w:ascii="Times New Roman" w:hAnsi="Times New Roman" w:cs="Times New Roman"/>
          <w:sz w:val="24"/>
          <w:szCs w:val="24"/>
        </w:rPr>
        <w:t xml:space="preserve"> Jedinice lokalne samouprave kao nositelji razvoja svog područja dužni su </w:t>
      </w:r>
      <w:r w:rsidR="000F6416" w:rsidRPr="00C0186C">
        <w:rPr>
          <w:rFonts w:ascii="Times New Roman" w:hAnsi="Times New Roman" w:cs="Times New Roman"/>
          <w:sz w:val="24"/>
          <w:szCs w:val="24"/>
        </w:rPr>
        <w:t xml:space="preserve">sukladno svojim financijskim mogućnostima </w:t>
      </w:r>
      <w:r w:rsidR="00A93389" w:rsidRPr="00C0186C">
        <w:rPr>
          <w:rFonts w:ascii="Times New Roman" w:hAnsi="Times New Roman" w:cs="Times New Roman"/>
          <w:sz w:val="24"/>
          <w:szCs w:val="24"/>
        </w:rPr>
        <w:t xml:space="preserve">u svojim planovima </w:t>
      </w:r>
      <w:r w:rsidR="006307B9" w:rsidRPr="00C0186C">
        <w:rPr>
          <w:rFonts w:ascii="Times New Roman" w:hAnsi="Times New Roman" w:cs="Times New Roman"/>
          <w:sz w:val="24"/>
          <w:szCs w:val="24"/>
        </w:rPr>
        <w:t xml:space="preserve">predvidjeti </w:t>
      </w:r>
      <w:r w:rsidR="00A93389" w:rsidRPr="00C0186C">
        <w:rPr>
          <w:rFonts w:ascii="Times New Roman" w:hAnsi="Times New Roman" w:cs="Times New Roman"/>
          <w:sz w:val="24"/>
          <w:szCs w:val="24"/>
        </w:rPr>
        <w:t>mjere i aktivnosti</w:t>
      </w:r>
      <w:r w:rsidR="006307B9" w:rsidRPr="00C0186C">
        <w:rPr>
          <w:rFonts w:ascii="Times New Roman" w:hAnsi="Times New Roman" w:cs="Times New Roman"/>
          <w:sz w:val="24"/>
          <w:szCs w:val="24"/>
        </w:rPr>
        <w:t xml:space="preserve"> koje doprinose ispunjenju ciljeva Programa</w:t>
      </w:r>
      <w:r w:rsidR="00A93389" w:rsidRPr="00C0186C">
        <w:rPr>
          <w:rFonts w:ascii="Times New Roman" w:hAnsi="Times New Roman" w:cs="Times New Roman"/>
          <w:sz w:val="24"/>
          <w:szCs w:val="24"/>
        </w:rPr>
        <w:t>.</w:t>
      </w:r>
      <w:r w:rsidR="00C10A6B" w:rsidRPr="00C0186C">
        <w:rPr>
          <w:rFonts w:ascii="Times New Roman" w:hAnsi="Times New Roman" w:cs="Times New Roman"/>
          <w:sz w:val="24"/>
          <w:szCs w:val="24"/>
        </w:rPr>
        <w:t xml:space="preserve"> </w:t>
      </w:r>
    </w:p>
    <w:p w14:paraId="6BA0C4B8" w14:textId="77777777" w:rsidR="005E21AB" w:rsidRPr="00C0186C" w:rsidRDefault="005E21AB" w:rsidP="00B70EE8">
      <w:pPr>
        <w:spacing w:before="0" w:after="0"/>
        <w:jc w:val="both"/>
        <w:rPr>
          <w:rFonts w:ascii="Times New Roman" w:hAnsi="Times New Roman" w:cs="Times New Roman"/>
          <w:sz w:val="24"/>
          <w:szCs w:val="24"/>
        </w:rPr>
      </w:pPr>
    </w:p>
    <w:p w14:paraId="69D16875" w14:textId="7252BE6D" w:rsidR="005E21AB" w:rsidRDefault="005E21AB"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 xml:space="preserve">Predložene mjere te aktivnosti i projekti, izravno su usmjereni na ostvarenje definiranih ciljeva Programa, a neizravno će njihov budući </w:t>
      </w:r>
      <w:r w:rsidR="00AA7D8A">
        <w:rPr>
          <w:rFonts w:ascii="Times New Roman" w:hAnsi="Times New Roman" w:cs="Times New Roman"/>
          <w:sz w:val="24"/>
          <w:szCs w:val="24"/>
        </w:rPr>
        <w:t>višestruki</w:t>
      </w:r>
      <w:r w:rsidRPr="00C0186C">
        <w:rPr>
          <w:rFonts w:ascii="Times New Roman" w:hAnsi="Times New Roman" w:cs="Times New Roman"/>
          <w:sz w:val="24"/>
          <w:szCs w:val="24"/>
        </w:rPr>
        <w:t xml:space="preserve"> učinak pridonijeti ostvarivanju ciljeva strateških dokumenata više razine koji dijelom ovise o učinkovitosti sveukupne politike regionalnog razvoja Republike Hrvatske</w:t>
      </w:r>
      <w:r w:rsidR="00C024F1" w:rsidRPr="00C0186C">
        <w:rPr>
          <w:rFonts w:ascii="Times New Roman" w:hAnsi="Times New Roman" w:cs="Times New Roman"/>
          <w:sz w:val="24"/>
          <w:szCs w:val="24"/>
        </w:rPr>
        <w:t xml:space="preserve">. </w:t>
      </w:r>
      <w:r w:rsidRPr="00C0186C">
        <w:rPr>
          <w:rFonts w:ascii="Times New Roman" w:hAnsi="Times New Roman" w:cs="Times New Roman"/>
          <w:sz w:val="24"/>
          <w:szCs w:val="24"/>
        </w:rPr>
        <w:t xml:space="preserve">Na taj način predložene programske mjere, kao i pripadajuće specifične aktivnosti i projekti koji vode ka njihovoj realizaciji, zajedno čine međusobno povezani provedbeni mehanizam integriran u hijerarhijsku strukturu relevantnih ciljeva, prioriteta i mjera, a koji su definirani već usvojenim strateškim aktima nadređenih upravljačkih razina. </w:t>
      </w:r>
    </w:p>
    <w:p w14:paraId="6B6044B8" w14:textId="6739410D" w:rsidR="001E5E21" w:rsidRDefault="001E5E21" w:rsidP="00B70EE8">
      <w:pPr>
        <w:spacing w:before="0" w:after="0"/>
        <w:jc w:val="both"/>
        <w:rPr>
          <w:rFonts w:ascii="Times New Roman" w:hAnsi="Times New Roman" w:cs="Times New Roman"/>
          <w:sz w:val="24"/>
          <w:szCs w:val="24"/>
        </w:rPr>
      </w:pPr>
    </w:p>
    <w:p w14:paraId="01C658FE" w14:textId="77777777" w:rsidR="00651867" w:rsidRPr="00651867" w:rsidRDefault="00651867" w:rsidP="00651867">
      <w:pPr>
        <w:pStyle w:val="NoSpacing"/>
        <w:shd w:val="clear" w:color="auto" w:fill="FFFFFF" w:themeFill="background1"/>
        <w:spacing w:line="276" w:lineRule="auto"/>
        <w:jc w:val="both"/>
        <w:rPr>
          <w:rFonts w:ascii="Times New Roman" w:hAnsi="Times New Roman" w:cs="Times New Roman"/>
          <w:sz w:val="24"/>
          <w:szCs w:val="24"/>
        </w:rPr>
      </w:pPr>
      <w:r w:rsidRPr="00651867">
        <w:rPr>
          <w:rFonts w:ascii="Times New Roman" w:hAnsi="Times New Roman" w:cs="Times New Roman"/>
          <w:sz w:val="24"/>
          <w:szCs w:val="24"/>
        </w:rPr>
        <w:t xml:space="preserve">Uzimajući u obzir izloženost Hrvatske utjecajima klimatskih promjena, radit će se na provođenju javnih politika usmjerenih na očuvanje </w:t>
      </w:r>
      <w:proofErr w:type="spellStart"/>
      <w:r w:rsidRPr="00651867">
        <w:rPr>
          <w:rFonts w:ascii="Times New Roman" w:hAnsi="Times New Roman" w:cs="Times New Roman"/>
          <w:sz w:val="24"/>
          <w:szCs w:val="24"/>
        </w:rPr>
        <w:t>bioraznolikosti</w:t>
      </w:r>
      <w:proofErr w:type="spellEnd"/>
      <w:r w:rsidRPr="00651867">
        <w:rPr>
          <w:rFonts w:ascii="Times New Roman" w:hAnsi="Times New Roman" w:cs="Times New Roman"/>
          <w:sz w:val="24"/>
          <w:szCs w:val="24"/>
        </w:rPr>
        <w:t xml:space="preserve"> i povećanje prirodnog kapitala, prostornih resursa, osnaživanje </w:t>
      </w:r>
      <w:proofErr w:type="spellStart"/>
      <w:r w:rsidRPr="00651867">
        <w:rPr>
          <w:rFonts w:ascii="Times New Roman" w:hAnsi="Times New Roman" w:cs="Times New Roman"/>
          <w:sz w:val="24"/>
          <w:szCs w:val="24"/>
        </w:rPr>
        <w:t>niskougljičnog</w:t>
      </w:r>
      <w:proofErr w:type="spellEnd"/>
      <w:r w:rsidRPr="00651867">
        <w:rPr>
          <w:rFonts w:ascii="Times New Roman" w:hAnsi="Times New Roman" w:cs="Times New Roman"/>
          <w:sz w:val="24"/>
          <w:szCs w:val="24"/>
        </w:rPr>
        <w:t xml:space="preserve"> rasta i djelotvorno upravljanje resursima radi smanjivanja rizika za okoliš i povećanja otpornosti na klimatske promjene te </w:t>
      </w:r>
      <w:proofErr w:type="spellStart"/>
      <w:r w:rsidRPr="00651867">
        <w:rPr>
          <w:rFonts w:ascii="Times New Roman" w:hAnsi="Times New Roman" w:cs="Times New Roman"/>
          <w:sz w:val="24"/>
          <w:szCs w:val="24"/>
        </w:rPr>
        <w:t>dekarbonizaciju</w:t>
      </w:r>
      <w:proofErr w:type="spellEnd"/>
      <w:r w:rsidRPr="00651867">
        <w:rPr>
          <w:rFonts w:ascii="Times New Roman" w:hAnsi="Times New Roman" w:cs="Times New Roman"/>
          <w:sz w:val="24"/>
          <w:szCs w:val="24"/>
        </w:rPr>
        <w:t xml:space="preserve"> energetskog sustava i obnovu zgrada u cilju postizanja energetske učinkovitosti. Vodeći računa o potrebnim ulaganjima za postizanje ciljeva do 2030. godine, a radi postizanja klimatske neutralnosti u 2050. godini bit će potrebna znatna sredstva, a održivo financiranje imat će ključnu ulogu u realizaciji i odabiru ulaganja.</w:t>
      </w:r>
    </w:p>
    <w:p w14:paraId="3150B42F" w14:textId="77777777" w:rsidR="00651867" w:rsidRPr="00651867" w:rsidRDefault="00651867" w:rsidP="00651867">
      <w:pPr>
        <w:pStyle w:val="NoSpacing"/>
        <w:shd w:val="clear" w:color="auto" w:fill="FFFFFF" w:themeFill="background1"/>
        <w:spacing w:line="276" w:lineRule="auto"/>
        <w:jc w:val="both"/>
        <w:rPr>
          <w:rFonts w:ascii="Times New Roman" w:hAnsi="Times New Roman" w:cs="Times New Roman"/>
          <w:sz w:val="24"/>
          <w:szCs w:val="24"/>
        </w:rPr>
      </w:pPr>
      <w:r w:rsidRPr="00651867">
        <w:rPr>
          <w:rFonts w:ascii="Times New Roman" w:hAnsi="Times New Roman" w:cs="Times New Roman"/>
          <w:sz w:val="24"/>
          <w:szCs w:val="24"/>
        </w:rPr>
        <w:t xml:space="preserve">Ulagat će se u razvoj kapaciteta lokalne zajednice da se može nositi s izazovima klimatskih promjena i da može usmjeravati politike i aktivnosti na jačanje otpornosti na klimatske promjene i na smanjenju emisije stakleničkih plinova. </w:t>
      </w:r>
    </w:p>
    <w:p w14:paraId="001D337E" w14:textId="77777777" w:rsidR="00651867" w:rsidRPr="00651867" w:rsidRDefault="00651867" w:rsidP="00651867">
      <w:pPr>
        <w:pStyle w:val="NoSpacing"/>
        <w:shd w:val="clear" w:color="auto" w:fill="FFFFFF" w:themeFill="background1"/>
        <w:spacing w:line="276" w:lineRule="auto"/>
        <w:jc w:val="both"/>
        <w:rPr>
          <w:rFonts w:ascii="Times New Roman" w:hAnsi="Times New Roman" w:cs="Times New Roman"/>
          <w:sz w:val="24"/>
          <w:szCs w:val="24"/>
        </w:rPr>
      </w:pPr>
      <w:r w:rsidRPr="00651867">
        <w:rPr>
          <w:rFonts w:ascii="Times New Roman" w:hAnsi="Times New Roman" w:cs="Times New Roman"/>
          <w:sz w:val="24"/>
          <w:szCs w:val="24"/>
        </w:rPr>
        <w:t xml:space="preserve">Sektori koji se smatraju osobito osjetljivima na klimatske promjene jesu vodno gospodarstvo, poljoprivreda, šumarstvo, energetika i turizam, a ugroženi su i </w:t>
      </w:r>
      <w:proofErr w:type="spellStart"/>
      <w:r w:rsidRPr="00651867">
        <w:rPr>
          <w:rFonts w:ascii="Times New Roman" w:hAnsi="Times New Roman" w:cs="Times New Roman"/>
          <w:sz w:val="24"/>
          <w:szCs w:val="24"/>
        </w:rPr>
        <w:t>bioraznolikost</w:t>
      </w:r>
      <w:proofErr w:type="spellEnd"/>
      <w:r w:rsidRPr="00651867">
        <w:rPr>
          <w:rFonts w:ascii="Times New Roman" w:hAnsi="Times New Roman" w:cs="Times New Roman"/>
          <w:sz w:val="24"/>
          <w:szCs w:val="24"/>
        </w:rPr>
        <w:t>, prirodni kopneni i morski ekosustavi, obalna i urbana područja te zdravlje ljudi.</w:t>
      </w:r>
    </w:p>
    <w:p w14:paraId="7B4D06AB" w14:textId="77777777" w:rsidR="00651867" w:rsidRPr="00651867" w:rsidRDefault="00651867" w:rsidP="00651867">
      <w:pPr>
        <w:pStyle w:val="NoSpacing"/>
        <w:shd w:val="clear" w:color="auto" w:fill="FFFFFF" w:themeFill="background1"/>
        <w:spacing w:line="276" w:lineRule="auto"/>
        <w:jc w:val="both"/>
        <w:rPr>
          <w:rFonts w:ascii="Times New Roman" w:hAnsi="Times New Roman" w:cs="Times New Roman"/>
          <w:sz w:val="24"/>
          <w:szCs w:val="24"/>
        </w:rPr>
      </w:pPr>
      <w:r w:rsidRPr="00651867">
        <w:rPr>
          <w:rFonts w:ascii="Times New Roman" w:hAnsi="Times New Roman" w:cs="Times New Roman"/>
          <w:sz w:val="24"/>
          <w:szCs w:val="24"/>
        </w:rPr>
        <w:t xml:space="preserve">U kontekstu smanjenja rizika od katastrofa uzrokovanih prirodnim prijetnjama nužno je ulagati u izradu dokumenata baziranih na znanstvenim spoznajama poput procjena rizika i dokumenata prostornog uređenja, podizanje svijesti, izgradnju protupožarnih putova, zaštitu i održavanje izvora vode, očuvanje i upravljanje šumama, jačanje infrastrukture te osiguravanje mjera nadzora. Pažnju treba posvetiti i jačanju sposobnosti sudionika civilne zaštite kroz smanjenje vremena reakcije, modernizaciju tehnike, nabavu vozila, instrumenata i uređaja za zaštitu i spašavanje, medicinske opreme te upotrebu digitalnih tehnologija. Poseban naglasak stavit će se na očuvanje i unaprjeđenje upravljanja postojećim zaštićenim područjima. S obzirom na sve veće pritiske na okoliš (biološke, fizičke te pritiske opasnim tvarima, otpadom), posebna pažnja usmjerit će se na prepoznavanje pojedinih vrijednih  područja, kako bi se izradile smjernice za njihovu zaštitu. </w:t>
      </w:r>
    </w:p>
    <w:p w14:paraId="5505BA2B" w14:textId="69F186AB" w:rsidR="00651867" w:rsidRDefault="00651867" w:rsidP="00651867">
      <w:pPr>
        <w:pStyle w:val="NoSpacing"/>
        <w:shd w:val="clear" w:color="auto" w:fill="FFFFFF" w:themeFill="background1"/>
        <w:spacing w:line="276" w:lineRule="auto"/>
        <w:jc w:val="both"/>
        <w:rPr>
          <w:rFonts w:ascii="Times New Roman" w:hAnsi="Times New Roman" w:cs="Times New Roman"/>
          <w:sz w:val="24"/>
          <w:szCs w:val="24"/>
        </w:rPr>
      </w:pPr>
      <w:r w:rsidRPr="00651867">
        <w:rPr>
          <w:rFonts w:ascii="Times New Roman" w:hAnsi="Times New Roman" w:cs="Times New Roman"/>
          <w:sz w:val="24"/>
          <w:szCs w:val="24"/>
        </w:rPr>
        <w:t xml:space="preserve">Zaštita okoliša na </w:t>
      </w:r>
      <w:r w:rsidR="00042433">
        <w:rPr>
          <w:rFonts w:ascii="Times New Roman" w:hAnsi="Times New Roman" w:cs="Times New Roman"/>
          <w:sz w:val="24"/>
          <w:szCs w:val="24"/>
        </w:rPr>
        <w:t>potpomognutom</w:t>
      </w:r>
      <w:r w:rsidRPr="00651867">
        <w:rPr>
          <w:rFonts w:ascii="Times New Roman" w:hAnsi="Times New Roman" w:cs="Times New Roman"/>
          <w:sz w:val="24"/>
          <w:szCs w:val="24"/>
        </w:rPr>
        <w:t xml:space="preserve"> području poticat će se kroz korištenje alternativnih goriva i pametnih tehnologija, adekvatnim gospodarenjem otpadom, poticanjem energetski i ekološki održivih proizvodnih procesa, tranzicijom prema energetski učinkovitijim i za okoliš povoljnijim oblicima prijevoza te korištenjem informacijsko-telekomunikacijske tehnologije zbog smanjivanja fizičkog prometa gdje god je to moguće (rad kod kuće, internetska trgovina, obavljanje poslova s javnom upravom, prostorno planiranje, telemedicina i sl.).</w:t>
      </w:r>
    </w:p>
    <w:p w14:paraId="71C8487A" w14:textId="77777777" w:rsidR="003F7F2B" w:rsidRPr="00651867" w:rsidRDefault="003F7F2B" w:rsidP="00651867">
      <w:pPr>
        <w:pStyle w:val="NoSpacing"/>
        <w:shd w:val="clear" w:color="auto" w:fill="FFFFFF" w:themeFill="background1"/>
        <w:spacing w:line="276" w:lineRule="auto"/>
        <w:jc w:val="both"/>
        <w:rPr>
          <w:rFonts w:ascii="Times New Roman" w:hAnsi="Times New Roman" w:cs="Times New Roman"/>
          <w:sz w:val="24"/>
          <w:szCs w:val="24"/>
        </w:rPr>
      </w:pPr>
    </w:p>
    <w:p w14:paraId="57C3E8FF" w14:textId="77777777" w:rsidR="00651867" w:rsidRPr="00651867" w:rsidRDefault="00651867" w:rsidP="00651867">
      <w:pPr>
        <w:pStyle w:val="NoSpacing"/>
        <w:shd w:val="clear" w:color="auto" w:fill="FFFFFF" w:themeFill="background1"/>
        <w:spacing w:before="0" w:line="276" w:lineRule="auto"/>
        <w:jc w:val="both"/>
        <w:rPr>
          <w:rFonts w:ascii="Times New Roman" w:hAnsi="Times New Roman" w:cs="Times New Roman"/>
          <w:sz w:val="24"/>
          <w:szCs w:val="24"/>
        </w:rPr>
      </w:pPr>
      <w:r w:rsidRPr="00651867">
        <w:rPr>
          <w:rFonts w:ascii="Times New Roman" w:hAnsi="Times New Roman" w:cs="Times New Roman"/>
          <w:sz w:val="24"/>
          <w:szCs w:val="24"/>
        </w:rPr>
        <w:t xml:space="preserve">Upravljanje nacionalnim parkovima i parkovima prirode nužno je unaprijediti kroz standardizaciju poslovnih procesa, razvoj </w:t>
      </w:r>
      <w:proofErr w:type="spellStart"/>
      <w:r w:rsidRPr="00651867">
        <w:rPr>
          <w:rFonts w:ascii="Times New Roman" w:hAnsi="Times New Roman" w:cs="Times New Roman"/>
          <w:sz w:val="24"/>
          <w:szCs w:val="24"/>
        </w:rPr>
        <w:t>posjetiteljske</w:t>
      </w:r>
      <w:proofErr w:type="spellEnd"/>
      <w:r w:rsidRPr="00651867">
        <w:rPr>
          <w:rFonts w:ascii="Times New Roman" w:hAnsi="Times New Roman" w:cs="Times New Roman"/>
          <w:sz w:val="24"/>
          <w:szCs w:val="24"/>
        </w:rPr>
        <w:t xml:space="preserve"> infrastrukture i uvođenje energetski učinkovitih tehnologija. Također će se posebna pažnja usmjeriti prema očuvanju ostalih zaštićenih područja u okviru mreže Natura 2000.</w:t>
      </w:r>
    </w:p>
    <w:p w14:paraId="11CE75A0" w14:textId="77777777" w:rsidR="00651867" w:rsidRPr="00651867" w:rsidRDefault="00651867" w:rsidP="00651867">
      <w:pPr>
        <w:pStyle w:val="NoSpacing"/>
        <w:shd w:val="clear" w:color="auto" w:fill="FFFFFF" w:themeFill="background1"/>
        <w:spacing w:line="276" w:lineRule="auto"/>
        <w:jc w:val="both"/>
        <w:rPr>
          <w:rFonts w:ascii="Times New Roman" w:hAnsi="Times New Roman" w:cs="Times New Roman"/>
          <w:sz w:val="24"/>
          <w:szCs w:val="24"/>
        </w:rPr>
      </w:pPr>
      <w:r w:rsidRPr="00651867">
        <w:rPr>
          <w:rFonts w:ascii="Times New Roman" w:hAnsi="Times New Roman" w:cs="Times New Roman"/>
          <w:sz w:val="24"/>
          <w:szCs w:val="24"/>
        </w:rPr>
        <w:t>Prilikom provedbe mjera iz Program posebna pozornost obratit će se na opće ciljeve Strategije prilagodbe klimatskim promjenama u Republici Hrvatskoj za razdoblje do 2040. godine s pogledom na 2070. godinu a) smanjiti ranjivost prirodnih sustava i društva na negativne utjecaje klimatskih promjena, kao i b) jačanje otpornosti i sposobnosti oporavka od tih utjecaja</w:t>
      </w:r>
    </w:p>
    <w:p w14:paraId="38833FAF" w14:textId="77777777" w:rsidR="00651867" w:rsidRPr="00651867" w:rsidRDefault="00651867" w:rsidP="00651867">
      <w:pPr>
        <w:pStyle w:val="NoSpacing"/>
        <w:spacing w:before="0" w:line="276" w:lineRule="auto"/>
        <w:jc w:val="both"/>
        <w:rPr>
          <w:rFonts w:ascii="Times New Roman" w:hAnsi="Times New Roman" w:cs="Times New Roman"/>
          <w:sz w:val="24"/>
          <w:szCs w:val="24"/>
        </w:rPr>
      </w:pPr>
      <w:r w:rsidRPr="00651867">
        <w:rPr>
          <w:rFonts w:ascii="Times New Roman" w:hAnsi="Times New Roman" w:cs="Times New Roman"/>
          <w:sz w:val="24"/>
          <w:szCs w:val="24"/>
        </w:rPr>
        <w:t>i c) iskorištavanje potencijalnih pozitivnih učinaka klimatskih promjena.</w:t>
      </w:r>
    </w:p>
    <w:p w14:paraId="1E2EFE22" w14:textId="77777777" w:rsidR="00651867" w:rsidRDefault="00651867" w:rsidP="00651867">
      <w:pPr>
        <w:pStyle w:val="NoSpacing"/>
        <w:shd w:val="clear" w:color="auto" w:fill="FFFFFF" w:themeFill="background1"/>
        <w:spacing w:line="276" w:lineRule="auto"/>
        <w:jc w:val="both"/>
        <w:rPr>
          <w:rFonts w:ascii="Times New Roman" w:hAnsi="Times New Roman" w:cs="Times New Roman"/>
          <w:sz w:val="24"/>
          <w:szCs w:val="24"/>
        </w:rPr>
      </w:pPr>
      <w:r w:rsidRPr="00651867">
        <w:rPr>
          <w:rFonts w:ascii="Times New Roman" w:hAnsi="Times New Roman" w:cs="Times New Roman"/>
          <w:sz w:val="24"/>
          <w:szCs w:val="24"/>
        </w:rPr>
        <w:t xml:space="preserve">Također će se voditi za ciljem Strategije </w:t>
      </w:r>
      <w:proofErr w:type="spellStart"/>
      <w:r w:rsidRPr="00651867">
        <w:rPr>
          <w:rFonts w:ascii="Times New Roman" w:hAnsi="Times New Roman" w:cs="Times New Roman"/>
          <w:sz w:val="24"/>
          <w:szCs w:val="24"/>
        </w:rPr>
        <w:t>niskougljičnog</w:t>
      </w:r>
      <w:proofErr w:type="spellEnd"/>
      <w:r w:rsidRPr="00651867">
        <w:rPr>
          <w:rFonts w:ascii="Times New Roman" w:hAnsi="Times New Roman" w:cs="Times New Roman"/>
          <w:sz w:val="24"/>
          <w:szCs w:val="24"/>
        </w:rPr>
        <w:t xml:space="preserve"> razvoja Republike Hrvatske do 2030. s pogledom na 2050. godinu o značajnom smanjenju emisija stakleničkih plinova i stvaranja pretpostavki za postizanje klimatski neutralne Hrvatske. </w:t>
      </w:r>
    </w:p>
    <w:p w14:paraId="483734D4" w14:textId="77777777" w:rsidR="00421D3A" w:rsidRPr="00C0186C" w:rsidRDefault="00421D3A" w:rsidP="00B70EE8">
      <w:pPr>
        <w:spacing w:before="0" w:after="0"/>
        <w:jc w:val="both"/>
        <w:rPr>
          <w:rFonts w:ascii="Times New Roman" w:hAnsi="Times New Roman" w:cs="Times New Roman"/>
          <w:sz w:val="24"/>
          <w:szCs w:val="24"/>
        </w:rPr>
      </w:pPr>
    </w:p>
    <w:p w14:paraId="08F288DA" w14:textId="77777777" w:rsidR="005E21AB" w:rsidRPr="00C0186C" w:rsidRDefault="005E21AB"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 xml:space="preserve">U nastavku se iznosi prikaz i kratki opis predloženih mjera. </w:t>
      </w:r>
    </w:p>
    <w:p w14:paraId="619C8838" w14:textId="77777777" w:rsidR="003F5767" w:rsidRPr="00C0186C" w:rsidRDefault="003F5767" w:rsidP="00B70EE8">
      <w:pPr>
        <w:spacing w:before="0" w:after="0"/>
        <w:jc w:val="both"/>
        <w:rPr>
          <w:rFonts w:ascii="Times New Roman" w:hAnsi="Times New Roman" w:cs="Times New Roman"/>
          <w:sz w:val="24"/>
          <w:szCs w:val="24"/>
        </w:rPr>
      </w:pPr>
    </w:p>
    <w:p w14:paraId="4D22A7FB" w14:textId="77777777" w:rsidR="007B2688" w:rsidRPr="00DF5007" w:rsidRDefault="00172FDD" w:rsidP="007634EA">
      <w:pPr>
        <w:spacing w:before="0" w:after="0"/>
        <w:rPr>
          <w:rFonts w:ascii="Times New Roman" w:hAnsi="Times New Roman" w:cs="Times New Roman"/>
          <w:b/>
          <w:bCs/>
          <w:sz w:val="22"/>
          <w:szCs w:val="22"/>
        </w:rPr>
      </w:pPr>
      <w:r w:rsidRPr="00DF5007">
        <w:rPr>
          <w:rFonts w:ascii="Times New Roman" w:hAnsi="Times New Roman" w:cs="Times New Roman"/>
          <w:b/>
          <w:bCs/>
          <w:sz w:val="22"/>
          <w:szCs w:val="22"/>
        </w:rPr>
        <w:t>Tablica 5</w:t>
      </w:r>
      <w:r w:rsidR="00EB6A25" w:rsidRPr="00DF5007">
        <w:rPr>
          <w:rFonts w:ascii="Times New Roman" w:hAnsi="Times New Roman" w:cs="Times New Roman"/>
          <w:b/>
          <w:bCs/>
          <w:sz w:val="22"/>
          <w:szCs w:val="22"/>
        </w:rPr>
        <w:t xml:space="preserve">. </w:t>
      </w:r>
      <w:r w:rsidR="0083583A" w:rsidRPr="00DF5007">
        <w:rPr>
          <w:rFonts w:ascii="Times New Roman" w:hAnsi="Times New Roman" w:cs="Times New Roman"/>
          <w:bCs/>
          <w:sz w:val="22"/>
          <w:szCs w:val="22"/>
        </w:rPr>
        <w:t>Ciljevi i mjere Programa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1"/>
      </w:tblGrid>
      <w:tr w:rsidR="0083583A" w:rsidRPr="00C0186C" w14:paraId="6EEF14EC" w14:textId="77777777" w:rsidTr="00E4439F">
        <w:trPr>
          <w:trHeight w:val="300"/>
        </w:trPr>
        <w:tc>
          <w:tcPr>
            <w:tcW w:w="2547" w:type="dxa"/>
            <w:shd w:val="clear" w:color="auto" w:fill="5B9BD5" w:themeFill="accent1"/>
            <w:noWrap/>
            <w:vAlign w:val="center"/>
            <w:hideMark/>
          </w:tcPr>
          <w:p w14:paraId="459327A4" w14:textId="77777777" w:rsidR="0083583A" w:rsidRPr="00E4439F" w:rsidRDefault="0083583A" w:rsidP="00B70EE8">
            <w:pPr>
              <w:spacing w:before="0" w:after="0"/>
              <w:jc w:val="center"/>
              <w:rPr>
                <w:rFonts w:ascii="Times New Roman" w:eastAsia="Times New Roman" w:hAnsi="Times New Roman" w:cs="Times New Roman"/>
                <w:b/>
                <w:bCs/>
                <w:color w:val="FFFFFF" w:themeColor="background1"/>
                <w:sz w:val="24"/>
                <w:szCs w:val="24"/>
                <w:lang w:eastAsia="hr-HR"/>
              </w:rPr>
            </w:pPr>
            <w:bookmarkStart w:id="18" w:name="_Hlk19781710"/>
            <w:r w:rsidRPr="00E4439F">
              <w:rPr>
                <w:rFonts w:ascii="Times New Roman" w:eastAsia="Times New Roman" w:hAnsi="Times New Roman" w:cs="Times New Roman"/>
                <w:b/>
                <w:bCs/>
                <w:color w:val="FFFFFF" w:themeColor="background1"/>
                <w:sz w:val="24"/>
                <w:szCs w:val="24"/>
                <w:lang w:eastAsia="hr-HR"/>
              </w:rPr>
              <w:t>CILJ 1.</w:t>
            </w:r>
          </w:p>
        </w:tc>
        <w:tc>
          <w:tcPr>
            <w:tcW w:w="7371" w:type="dxa"/>
            <w:shd w:val="clear" w:color="auto" w:fill="5B9BD5" w:themeFill="accent1"/>
            <w:noWrap/>
            <w:vAlign w:val="center"/>
            <w:hideMark/>
          </w:tcPr>
          <w:p w14:paraId="6593B762" w14:textId="5A85DD04" w:rsidR="0083583A" w:rsidRPr="00E4439F" w:rsidRDefault="0083583A" w:rsidP="001C395D">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POVEĆANJE ZAPOSLENOSTI I DOHOTKA</w:t>
            </w:r>
          </w:p>
        </w:tc>
      </w:tr>
      <w:tr w:rsidR="0083583A" w:rsidRPr="00C0186C" w14:paraId="070E4629" w14:textId="77777777" w:rsidTr="00E4439F">
        <w:trPr>
          <w:trHeight w:val="300"/>
        </w:trPr>
        <w:tc>
          <w:tcPr>
            <w:tcW w:w="2547" w:type="dxa"/>
            <w:shd w:val="clear" w:color="auto" w:fill="5B9BD5" w:themeFill="accent1"/>
            <w:noWrap/>
            <w:vAlign w:val="center"/>
          </w:tcPr>
          <w:p w14:paraId="65029845" w14:textId="77777777" w:rsidR="0083583A" w:rsidRPr="00E4439F" w:rsidRDefault="0083583A" w:rsidP="00B70EE8">
            <w:pPr>
              <w:spacing w:before="0" w:after="0"/>
              <w:jc w:val="center"/>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 xml:space="preserve">Mjera 1.1. </w:t>
            </w:r>
          </w:p>
        </w:tc>
        <w:tc>
          <w:tcPr>
            <w:tcW w:w="7371" w:type="dxa"/>
            <w:shd w:val="clear" w:color="auto" w:fill="5B9BD5" w:themeFill="accent1"/>
            <w:noWrap/>
            <w:vAlign w:val="center"/>
          </w:tcPr>
          <w:p w14:paraId="2F9876B2" w14:textId="77777777" w:rsidR="0083583A" w:rsidRPr="00E4439F" w:rsidRDefault="0083583A" w:rsidP="00B70EE8">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POTICANJE RASTA I RAZVOJA LOKALNIH GOSPODARSTAVA</w:t>
            </w:r>
          </w:p>
        </w:tc>
      </w:tr>
      <w:tr w:rsidR="0083583A" w:rsidRPr="00C0186C" w14:paraId="629217FF" w14:textId="77777777" w:rsidTr="00D32164">
        <w:trPr>
          <w:trHeight w:val="300"/>
        </w:trPr>
        <w:tc>
          <w:tcPr>
            <w:tcW w:w="2547" w:type="dxa"/>
            <w:shd w:val="clear" w:color="auto" w:fill="DEEAF6" w:themeFill="accent1" w:themeFillTint="33"/>
            <w:noWrap/>
            <w:vAlign w:val="center"/>
          </w:tcPr>
          <w:p w14:paraId="49A64EE9" w14:textId="77777777" w:rsidR="0083583A" w:rsidRPr="00C0186C" w:rsidRDefault="0083583A"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Područje djelovanja</w:t>
            </w:r>
            <w:r w:rsidR="00656CF5" w:rsidRPr="00C0186C">
              <w:rPr>
                <w:rStyle w:val="FootnoteReference"/>
                <w:rFonts w:ascii="Times New Roman" w:eastAsia="Times New Roman" w:hAnsi="Times New Roman" w:cs="Times New Roman"/>
                <w:b/>
                <w:bCs/>
                <w:sz w:val="24"/>
                <w:szCs w:val="24"/>
                <w:lang w:eastAsia="hr-HR"/>
              </w:rPr>
              <w:footnoteReference w:id="10"/>
            </w:r>
          </w:p>
        </w:tc>
        <w:tc>
          <w:tcPr>
            <w:tcW w:w="7371" w:type="dxa"/>
            <w:shd w:val="clear" w:color="auto" w:fill="DEEAF6" w:themeFill="accent1" w:themeFillTint="33"/>
            <w:noWrap/>
            <w:vAlign w:val="center"/>
          </w:tcPr>
          <w:p w14:paraId="0C2E2D72" w14:textId="33004918" w:rsidR="0083583A" w:rsidRPr="00C0186C" w:rsidRDefault="00656CF5" w:rsidP="00B70EE8">
            <w:pPr>
              <w:spacing w:before="0" w:after="0"/>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Gospodarska mjera; fiskalna mjera</w:t>
            </w:r>
            <w:r w:rsidR="00F63D24" w:rsidRPr="00C0186C">
              <w:rPr>
                <w:rFonts w:ascii="Times New Roman" w:eastAsia="Times New Roman" w:hAnsi="Times New Roman" w:cs="Times New Roman"/>
                <w:b/>
                <w:bCs/>
                <w:sz w:val="24"/>
                <w:szCs w:val="24"/>
                <w:lang w:eastAsia="hr-HR"/>
              </w:rPr>
              <w:t>;</w:t>
            </w:r>
            <w:r w:rsidR="00E26DBB" w:rsidRPr="00C0186C">
              <w:rPr>
                <w:rFonts w:ascii="Times New Roman" w:eastAsia="Times New Roman" w:hAnsi="Times New Roman" w:cs="Times New Roman"/>
                <w:b/>
                <w:bCs/>
                <w:color w:val="FF0000"/>
                <w:sz w:val="24"/>
                <w:szCs w:val="24"/>
                <w:lang w:eastAsia="hr-HR"/>
              </w:rPr>
              <w:t xml:space="preserve"> </w:t>
            </w:r>
          </w:p>
        </w:tc>
      </w:tr>
      <w:tr w:rsidR="0083583A" w:rsidRPr="00C0186C" w14:paraId="07C64570" w14:textId="77777777" w:rsidTr="00D32164">
        <w:trPr>
          <w:trHeight w:val="300"/>
        </w:trPr>
        <w:tc>
          <w:tcPr>
            <w:tcW w:w="2547" w:type="dxa"/>
            <w:shd w:val="clear" w:color="auto" w:fill="DEEAF6" w:themeFill="accent1" w:themeFillTint="33"/>
            <w:noWrap/>
            <w:vAlign w:val="center"/>
          </w:tcPr>
          <w:p w14:paraId="19AF8A93" w14:textId="77777777" w:rsidR="0083583A" w:rsidRPr="00C0186C" w:rsidRDefault="0083583A"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Ishodi</w:t>
            </w:r>
          </w:p>
        </w:tc>
        <w:tc>
          <w:tcPr>
            <w:tcW w:w="7371" w:type="dxa"/>
            <w:shd w:val="clear" w:color="auto" w:fill="DEEAF6" w:themeFill="accent1" w:themeFillTint="33"/>
            <w:noWrap/>
            <w:vAlign w:val="center"/>
          </w:tcPr>
          <w:p w14:paraId="7E63E352" w14:textId="77777777" w:rsidR="0083583A" w:rsidRPr="00C0186C" w:rsidRDefault="0083583A" w:rsidP="00B70EE8">
            <w:pPr>
              <w:numPr>
                <w:ilvl w:val="0"/>
                <w:numId w:val="11"/>
              </w:numPr>
              <w:spacing w:before="0" w:after="0"/>
              <w:contextualSpacing/>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Povećanje broja poduzeća, obrta, OPG-a i broja zaposlenih</w:t>
            </w:r>
          </w:p>
          <w:p w14:paraId="5914AA49" w14:textId="77777777" w:rsidR="0083583A" w:rsidRPr="00C0186C" w:rsidRDefault="0083583A" w:rsidP="00B70EE8">
            <w:pPr>
              <w:numPr>
                <w:ilvl w:val="0"/>
                <w:numId w:val="11"/>
              </w:numPr>
              <w:spacing w:before="0" w:after="0"/>
              <w:contextualSpacing/>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Poboljšanje ekonomsko-socijalnih kapaciteta lokalnih zajednica </w:t>
            </w:r>
          </w:p>
          <w:p w14:paraId="08D5A922" w14:textId="368E7857" w:rsidR="002E789D" w:rsidRPr="00C0186C" w:rsidRDefault="0083583A" w:rsidP="00B70EE8">
            <w:pPr>
              <w:numPr>
                <w:ilvl w:val="0"/>
                <w:numId w:val="11"/>
              </w:numPr>
              <w:spacing w:before="0"/>
              <w:contextualSpacing/>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Povećanje standarda javne infrastrukture</w:t>
            </w:r>
          </w:p>
        </w:tc>
      </w:tr>
      <w:tr w:rsidR="0083583A" w:rsidRPr="00C0186C" w14:paraId="0CE7F781" w14:textId="77777777" w:rsidTr="00E4439F">
        <w:trPr>
          <w:trHeight w:val="300"/>
        </w:trPr>
        <w:tc>
          <w:tcPr>
            <w:tcW w:w="2547" w:type="dxa"/>
            <w:shd w:val="clear" w:color="auto" w:fill="5B9BD5" w:themeFill="accent1"/>
            <w:noWrap/>
            <w:vAlign w:val="center"/>
          </w:tcPr>
          <w:p w14:paraId="5C62831F" w14:textId="77777777" w:rsidR="0083583A" w:rsidRPr="00E4439F" w:rsidRDefault="0083583A" w:rsidP="00B70EE8">
            <w:pPr>
              <w:spacing w:before="0" w:after="0"/>
              <w:jc w:val="center"/>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 xml:space="preserve">Mjera 1.2. </w:t>
            </w:r>
          </w:p>
        </w:tc>
        <w:tc>
          <w:tcPr>
            <w:tcW w:w="7371" w:type="dxa"/>
            <w:shd w:val="clear" w:color="auto" w:fill="5B9BD5" w:themeFill="accent1"/>
            <w:noWrap/>
            <w:vAlign w:val="center"/>
          </w:tcPr>
          <w:p w14:paraId="4A4D2742" w14:textId="77777777" w:rsidR="0083583A" w:rsidRPr="00E4439F" w:rsidRDefault="0083583A" w:rsidP="00B70EE8">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JAČANJE LJUDSKIH POTENCIJALA NA LOKALNOJ RAZINI</w:t>
            </w:r>
          </w:p>
        </w:tc>
      </w:tr>
      <w:tr w:rsidR="0083583A" w:rsidRPr="00C0186C" w14:paraId="7B48776C" w14:textId="77777777" w:rsidTr="001C395D">
        <w:trPr>
          <w:trHeight w:val="540"/>
        </w:trPr>
        <w:tc>
          <w:tcPr>
            <w:tcW w:w="2547" w:type="dxa"/>
            <w:shd w:val="clear" w:color="auto" w:fill="DEEAF6" w:themeFill="accent1" w:themeFillTint="33"/>
            <w:noWrap/>
            <w:vAlign w:val="center"/>
          </w:tcPr>
          <w:p w14:paraId="3A0ED240" w14:textId="4135B057" w:rsidR="0083583A" w:rsidRPr="00C0186C" w:rsidRDefault="0083583A" w:rsidP="001C395D">
            <w:pPr>
              <w:spacing w:before="0" w:after="0"/>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Područje djelovanja</w:t>
            </w:r>
          </w:p>
        </w:tc>
        <w:tc>
          <w:tcPr>
            <w:tcW w:w="7371" w:type="dxa"/>
            <w:shd w:val="clear" w:color="auto" w:fill="DEEAF6" w:themeFill="accent1" w:themeFillTint="33"/>
            <w:noWrap/>
            <w:vAlign w:val="center"/>
          </w:tcPr>
          <w:p w14:paraId="65A4B88A" w14:textId="77777777" w:rsidR="0083583A" w:rsidRPr="00C0186C" w:rsidRDefault="0083583A" w:rsidP="00B70EE8">
            <w:pPr>
              <w:spacing w:before="0" w:after="0"/>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Gospodarska</w:t>
            </w:r>
            <w:r w:rsidR="00656CF5" w:rsidRPr="00C0186C">
              <w:rPr>
                <w:rFonts w:ascii="Times New Roman" w:eastAsia="Times New Roman" w:hAnsi="Times New Roman" w:cs="Times New Roman"/>
                <w:b/>
                <w:bCs/>
                <w:sz w:val="24"/>
                <w:szCs w:val="24"/>
                <w:lang w:eastAsia="hr-HR"/>
              </w:rPr>
              <w:t xml:space="preserve"> mjera; d</w:t>
            </w:r>
            <w:r w:rsidRPr="00C0186C">
              <w:rPr>
                <w:rFonts w:ascii="Times New Roman" w:eastAsia="Times New Roman" w:hAnsi="Times New Roman" w:cs="Times New Roman"/>
                <w:b/>
                <w:bCs/>
                <w:sz w:val="24"/>
                <w:szCs w:val="24"/>
                <w:lang w:eastAsia="hr-HR"/>
              </w:rPr>
              <w:t>emografska mjera</w:t>
            </w:r>
          </w:p>
        </w:tc>
      </w:tr>
      <w:tr w:rsidR="0083583A" w:rsidRPr="00C0186C" w14:paraId="4F3B7F47" w14:textId="77777777" w:rsidTr="00A4421B">
        <w:trPr>
          <w:trHeight w:val="1708"/>
        </w:trPr>
        <w:tc>
          <w:tcPr>
            <w:tcW w:w="2547" w:type="dxa"/>
            <w:shd w:val="clear" w:color="auto" w:fill="DEEAF6" w:themeFill="accent1" w:themeFillTint="33"/>
            <w:noWrap/>
            <w:vAlign w:val="center"/>
          </w:tcPr>
          <w:p w14:paraId="261A5CA7" w14:textId="77777777" w:rsidR="0083583A" w:rsidRPr="00C0186C" w:rsidRDefault="0083583A"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Ishodi </w:t>
            </w:r>
          </w:p>
        </w:tc>
        <w:tc>
          <w:tcPr>
            <w:tcW w:w="7371" w:type="dxa"/>
            <w:shd w:val="clear" w:color="auto" w:fill="DEEAF6" w:themeFill="accent1" w:themeFillTint="33"/>
            <w:noWrap/>
            <w:vAlign w:val="center"/>
          </w:tcPr>
          <w:p w14:paraId="5C61343B" w14:textId="77777777" w:rsidR="0083583A" w:rsidRPr="00C0186C" w:rsidRDefault="0083583A" w:rsidP="00B70EE8">
            <w:pPr>
              <w:pStyle w:val="ListParagraph"/>
              <w:numPr>
                <w:ilvl w:val="0"/>
                <w:numId w:val="28"/>
              </w:numPr>
              <w:spacing w:before="0"/>
              <w:rPr>
                <w:rFonts w:ascii="Times New Roman" w:hAnsi="Times New Roman" w:cs="Times New Roman"/>
                <w:b/>
                <w:bCs/>
                <w:sz w:val="24"/>
                <w:szCs w:val="24"/>
              </w:rPr>
            </w:pPr>
            <w:r w:rsidRPr="00C0186C">
              <w:rPr>
                <w:rFonts w:ascii="Times New Roman" w:hAnsi="Times New Roman" w:cs="Times New Roman"/>
                <w:b/>
                <w:bCs/>
                <w:sz w:val="24"/>
                <w:szCs w:val="24"/>
              </w:rPr>
              <w:t xml:space="preserve">Povećanje </w:t>
            </w:r>
            <w:r w:rsidR="00EC2627" w:rsidRPr="00C0186C">
              <w:rPr>
                <w:rFonts w:ascii="Times New Roman" w:hAnsi="Times New Roman" w:cs="Times New Roman"/>
                <w:b/>
                <w:bCs/>
                <w:sz w:val="24"/>
                <w:szCs w:val="24"/>
              </w:rPr>
              <w:t xml:space="preserve">obrazovne </w:t>
            </w:r>
            <w:r w:rsidRPr="00C0186C">
              <w:rPr>
                <w:rFonts w:ascii="Times New Roman" w:hAnsi="Times New Roman" w:cs="Times New Roman"/>
                <w:b/>
                <w:bCs/>
                <w:sz w:val="24"/>
                <w:szCs w:val="24"/>
              </w:rPr>
              <w:t>radno aktivne populacije</w:t>
            </w:r>
          </w:p>
          <w:p w14:paraId="181D92CE" w14:textId="77777777" w:rsidR="00356D68" w:rsidRPr="00C0186C" w:rsidRDefault="0083583A" w:rsidP="00B70EE8">
            <w:pPr>
              <w:pStyle w:val="ListParagraph"/>
              <w:numPr>
                <w:ilvl w:val="0"/>
                <w:numId w:val="28"/>
              </w:numPr>
              <w:spacing w:before="0"/>
              <w:rPr>
                <w:rFonts w:ascii="Times New Roman" w:hAnsi="Times New Roman" w:cs="Times New Roman"/>
                <w:b/>
                <w:bCs/>
                <w:sz w:val="24"/>
                <w:szCs w:val="24"/>
              </w:rPr>
            </w:pPr>
            <w:r w:rsidRPr="00C0186C">
              <w:rPr>
                <w:rFonts w:ascii="Times New Roman" w:hAnsi="Times New Roman" w:cs="Times New Roman"/>
                <w:b/>
                <w:bCs/>
                <w:sz w:val="24"/>
                <w:szCs w:val="24"/>
              </w:rPr>
              <w:t>Povećanje razine sudjelovanja u cjeloživotnim programima</w:t>
            </w:r>
          </w:p>
          <w:p w14:paraId="4195945F" w14:textId="77777777" w:rsidR="00356D68" w:rsidRPr="00C0186C" w:rsidRDefault="008C2690" w:rsidP="00B70EE8">
            <w:pPr>
              <w:pStyle w:val="ListParagraph"/>
              <w:numPr>
                <w:ilvl w:val="0"/>
                <w:numId w:val="28"/>
              </w:numPr>
              <w:spacing w:before="0"/>
              <w:rPr>
                <w:rFonts w:ascii="Times New Roman" w:hAnsi="Times New Roman" w:cs="Times New Roman"/>
                <w:b/>
                <w:bCs/>
                <w:sz w:val="24"/>
                <w:szCs w:val="24"/>
              </w:rPr>
            </w:pPr>
            <w:r w:rsidRPr="00C0186C">
              <w:rPr>
                <w:rFonts w:ascii="Times New Roman" w:hAnsi="Times New Roman" w:cs="Times New Roman"/>
                <w:b/>
                <w:bCs/>
                <w:sz w:val="24"/>
                <w:szCs w:val="24"/>
              </w:rPr>
              <w:t>Smanjenje sektorske</w:t>
            </w:r>
            <w:r w:rsidR="0083583A" w:rsidRPr="00C0186C">
              <w:rPr>
                <w:rFonts w:ascii="Times New Roman" w:hAnsi="Times New Roman" w:cs="Times New Roman"/>
                <w:b/>
                <w:bCs/>
                <w:sz w:val="24"/>
                <w:szCs w:val="24"/>
              </w:rPr>
              <w:t xml:space="preserve"> neravnoteže ponude i potražnje tržišta rada</w:t>
            </w:r>
          </w:p>
          <w:p w14:paraId="2269C872" w14:textId="77777777" w:rsidR="0083583A" w:rsidRPr="00C0186C" w:rsidRDefault="0083583A" w:rsidP="00B70EE8">
            <w:pPr>
              <w:pStyle w:val="ListParagraph"/>
              <w:numPr>
                <w:ilvl w:val="0"/>
                <w:numId w:val="28"/>
              </w:numPr>
              <w:spacing w:before="0"/>
              <w:rPr>
                <w:rFonts w:ascii="Times New Roman" w:hAnsi="Times New Roman" w:cs="Times New Roman"/>
                <w:b/>
                <w:bCs/>
                <w:sz w:val="24"/>
                <w:szCs w:val="24"/>
              </w:rPr>
            </w:pPr>
            <w:r w:rsidRPr="00C0186C">
              <w:rPr>
                <w:rFonts w:ascii="Times New Roman" w:hAnsi="Times New Roman" w:cs="Times New Roman"/>
                <w:b/>
                <w:bCs/>
                <w:sz w:val="24"/>
                <w:szCs w:val="24"/>
              </w:rPr>
              <w:t>Porast zaposlenosti socijalno ugroženih skupina</w:t>
            </w:r>
          </w:p>
        </w:tc>
      </w:tr>
      <w:tr w:rsidR="0083583A" w:rsidRPr="00C0186C" w14:paraId="07B0B6FD" w14:textId="77777777" w:rsidTr="00E4439F">
        <w:trPr>
          <w:trHeight w:val="300"/>
        </w:trPr>
        <w:tc>
          <w:tcPr>
            <w:tcW w:w="2547" w:type="dxa"/>
            <w:shd w:val="clear" w:color="auto" w:fill="5B9BD5" w:themeFill="accent1"/>
            <w:noWrap/>
            <w:vAlign w:val="center"/>
          </w:tcPr>
          <w:p w14:paraId="388E93AC" w14:textId="77777777" w:rsidR="0083583A" w:rsidRPr="00E4439F" w:rsidRDefault="0083583A" w:rsidP="00B70EE8">
            <w:pPr>
              <w:spacing w:before="0" w:after="0"/>
              <w:jc w:val="center"/>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Mjera 1.3.</w:t>
            </w:r>
          </w:p>
        </w:tc>
        <w:tc>
          <w:tcPr>
            <w:tcW w:w="7371" w:type="dxa"/>
            <w:shd w:val="clear" w:color="auto" w:fill="5B9BD5" w:themeFill="accent1"/>
            <w:noWrap/>
            <w:vAlign w:val="center"/>
          </w:tcPr>
          <w:p w14:paraId="50C3EEE5" w14:textId="77777777" w:rsidR="0083583A" w:rsidRPr="00E4439F" w:rsidRDefault="0083583A" w:rsidP="00B70EE8">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JAČANJE INSTITUCIONALNIH KAPACITETA LOKALNIH ZAJEDNICA</w:t>
            </w:r>
          </w:p>
        </w:tc>
      </w:tr>
      <w:tr w:rsidR="0083583A" w:rsidRPr="00C0186C" w14:paraId="5A5E6C2A" w14:textId="77777777" w:rsidTr="00D32164">
        <w:trPr>
          <w:trHeight w:val="300"/>
        </w:trPr>
        <w:tc>
          <w:tcPr>
            <w:tcW w:w="2547" w:type="dxa"/>
            <w:shd w:val="clear" w:color="auto" w:fill="DEEAF6" w:themeFill="accent1" w:themeFillTint="33"/>
            <w:noWrap/>
            <w:vAlign w:val="center"/>
          </w:tcPr>
          <w:p w14:paraId="2168BBB0" w14:textId="77777777" w:rsidR="0083583A" w:rsidRPr="00C0186C" w:rsidRDefault="0083583A"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Područje djelovanja</w:t>
            </w:r>
          </w:p>
        </w:tc>
        <w:tc>
          <w:tcPr>
            <w:tcW w:w="7371" w:type="dxa"/>
            <w:shd w:val="clear" w:color="auto" w:fill="DEEAF6" w:themeFill="accent1" w:themeFillTint="33"/>
            <w:noWrap/>
            <w:vAlign w:val="center"/>
          </w:tcPr>
          <w:p w14:paraId="49F5161E" w14:textId="77777777" w:rsidR="0083583A" w:rsidRPr="00C0186C" w:rsidRDefault="0083583A" w:rsidP="00B70EE8">
            <w:pPr>
              <w:spacing w:before="0" w:after="0"/>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Jačanje institucionalnog </w:t>
            </w:r>
            <w:r w:rsidR="00656CF5" w:rsidRPr="00C0186C">
              <w:rPr>
                <w:rFonts w:ascii="Times New Roman" w:eastAsia="Times New Roman" w:hAnsi="Times New Roman" w:cs="Times New Roman"/>
                <w:b/>
                <w:bCs/>
                <w:sz w:val="24"/>
                <w:szCs w:val="24"/>
                <w:lang w:eastAsia="hr-HR"/>
              </w:rPr>
              <w:t>i administrativnog kapaciteta; f</w:t>
            </w:r>
            <w:r w:rsidRPr="00C0186C">
              <w:rPr>
                <w:rFonts w:ascii="Times New Roman" w:eastAsia="Times New Roman" w:hAnsi="Times New Roman" w:cs="Times New Roman"/>
                <w:b/>
                <w:bCs/>
                <w:sz w:val="24"/>
                <w:szCs w:val="24"/>
                <w:lang w:eastAsia="hr-HR"/>
              </w:rPr>
              <w:t xml:space="preserve">iskalna mjera </w:t>
            </w:r>
          </w:p>
        </w:tc>
      </w:tr>
      <w:tr w:rsidR="0083583A" w:rsidRPr="00C0186C" w14:paraId="1060371D" w14:textId="77777777" w:rsidTr="00A4421B">
        <w:trPr>
          <w:trHeight w:val="699"/>
        </w:trPr>
        <w:tc>
          <w:tcPr>
            <w:tcW w:w="2547" w:type="dxa"/>
            <w:shd w:val="clear" w:color="auto" w:fill="DEEAF6" w:themeFill="accent1" w:themeFillTint="33"/>
            <w:noWrap/>
            <w:vAlign w:val="center"/>
          </w:tcPr>
          <w:p w14:paraId="73687D58" w14:textId="77777777" w:rsidR="0083583A" w:rsidRPr="00C0186C" w:rsidRDefault="0083583A"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Ishodi </w:t>
            </w:r>
          </w:p>
        </w:tc>
        <w:tc>
          <w:tcPr>
            <w:tcW w:w="7371" w:type="dxa"/>
            <w:shd w:val="clear" w:color="auto" w:fill="DEEAF6" w:themeFill="accent1" w:themeFillTint="33"/>
            <w:noWrap/>
            <w:vAlign w:val="center"/>
          </w:tcPr>
          <w:p w14:paraId="0A9D7D00" w14:textId="77777777" w:rsidR="00356D68" w:rsidRPr="00C0186C" w:rsidRDefault="0083583A" w:rsidP="007634EA">
            <w:pPr>
              <w:pStyle w:val="ListParagraph"/>
              <w:numPr>
                <w:ilvl w:val="0"/>
                <w:numId w:val="29"/>
              </w:numPr>
              <w:rPr>
                <w:rFonts w:ascii="Times New Roman" w:hAnsi="Times New Roman" w:cs="Times New Roman"/>
                <w:b/>
                <w:bCs/>
                <w:sz w:val="24"/>
                <w:szCs w:val="24"/>
              </w:rPr>
            </w:pPr>
            <w:r w:rsidRPr="00C0186C">
              <w:rPr>
                <w:rFonts w:ascii="Times New Roman" w:hAnsi="Times New Roman" w:cs="Times New Roman"/>
                <w:b/>
                <w:bCs/>
                <w:sz w:val="24"/>
                <w:szCs w:val="24"/>
              </w:rPr>
              <w:t>Povećanje standarda javnih usluga</w:t>
            </w:r>
          </w:p>
          <w:p w14:paraId="3212A567" w14:textId="487C4B95" w:rsidR="004727D0" w:rsidRPr="00A4421B" w:rsidRDefault="0083583A" w:rsidP="00A4421B">
            <w:pPr>
              <w:pStyle w:val="ListParagraph"/>
              <w:numPr>
                <w:ilvl w:val="0"/>
                <w:numId w:val="29"/>
              </w:numPr>
              <w:spacing w:before="0"/>
              <w:rPr>
                <w:rFonts w:ascii="Times New Roman" w:eastAsia="Times New Roman" w:hAnsi="Times New Roman" w:cs="Times New Roman"/>
                <w:b/>
                <w:bCs/>
                <w:sz w:val="24"/>
                <w:szCs w:val="24"/>
                <w:lang w:eastAsia="hr-HR"/>
              </w:rPr>
            </w:pPr>
            <w:r w:rsidRPr="00C0186C">
              <w:rPr>
                <w:rFonts w:ascii="Times New Roman" w:hAnsi="Times New Roman" w:cs="Times New Roman"/>
                <w:b/>
                <w:bCs/>
                <w:sz w:val="24"/>
                <w:szCs w:val="24"/>
              </w:rPr>
              <w:t>Poboljšanje poslovnog okruženja te inovacijskih kapaciteta lokalne zajednice</w:t>
            </w:r>
          </w:p>
        </w:tc>
      </w:tr>
      <w:tr w:rsidR="004253EB" w:rsidRPr="00C0186C" w14:paraId="39311715" w14:textId="77777777" w:rsidTr="00E4439F">
        <w:trPr>
          <w:trHeight w:val="300"/>
        </w:trPr>
        <w:tc>
          <w:tcPr>
            <w:tcW w:w="2547" w:type="dxa"/>
            <w:shd w:val="clear" w:color="auto" w:fill="5B9BD5" w:themeFill="accent1"/>
            <w:noWrap/>
            <w:vAlign w:val="center"/>
            <w:hideMark/>
          </w:tcPr>
          <w:p w14:paraId="562F0D14" w14:textId="77777777" w:rsidR="004253EB" w:rsidRPr="00E4439F" w:rsidRDefault="004253EB" w:rsidP="00B70EE8">
            <w:pPr>
              <w:spacing w:before="0" w:after="0"/>
              <w:jc w:val="center"/>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Mjera 1.4.</w:t>
            </w:r>
          </w:p>
        </w:tc>
        <w:tc>
          <w:tcPr>
            <w:tcW w:w="7371" w:type="dxa"/>
            <w:shd w:val="clear" w:color="auto" w:fill="5B9BD5" w:themeFill="accent1"/>
            <w:noWrap/>
            <w:vAlign w:val="center"/>
            <w:hideMark/>
          </w:tcPr>
          <w:p w14:paraId="6772C65F" w14:textId="6769669E" w:rsidR="004253EB" w:rsidRPr="00E4439F" w:rsidRDefault="004253EB" w:rsidP="007634EA">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VEĆA APSORPCIJA EU FONDOVA</w:t>
            </w:r>
          </w:p>
        </w:tc>
      </w:tr>
      <w:tr w:rsidR="00A02369" w:rsidRPr="00C0186C" w14:paraId="463CF40D" w14:textId="77777777" w:rsidTr="00D32164">
        <w:trPr>
          <w:trHeight w:val="300"/>
        </w:trPr>
        <w:tc>
          <w:tcPr>
            <w:tcW w:w="2547" w:type="dxa"/>
            <w:shd w:val="clear" w:color="auto" w:fill="DEEAF6" w:themeFill="accent1" w:themeFillTint="33"/>
            <w:noWrap/>
            <w:vAlign w:val="center"/>
          </w:tcPr>
          <w:p w14:paraId="2B4F620A" w14:textId="77777777" w:rsidR="00A02369" w:rsidRPr="00C0186C" w:rsidRDefault="00A02369"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Područje djelovanja </w:t>
            </w:r>
          </w:p>
        </w:tc>
        <w:tc>
          <w:tcPr>
            <w:tcW w:w="7371" w:type="dxa"/>
            <w:shd w:val="clear" w:color="auto" w:fill="DEEAF6" w:themeFill="accent1" w:themeFillTint="33"/>
            <w:noWrap/>
            <w:vAlign w:val="center"/>
          </w:tcPr>
          <w:p w14:paraId="1F70D235" w14:textId="4C5E0B14" w:rsidR="00A02369" w:rsidRPr="00C0186C" w:rsidRDefault="00A02369" w:rsidP="00B70EE8">
            <w:pPr>
              <w:spacing w:before="0" w:after="0"/>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Jačanje institucionalnih kapaciteta lokalnih zajednica; Gospodarska mjera </w:t>
            </w:r>
          </w:p>
        </w:tc>
      </w:tr>
      <w:tr w:rsidR="00A02369" w:rsidRPr="00C0186C" w14:paraId="758CDA7B" w14:textId="77777777" w:rsidTr="00D32164">
        <w:trPr>
          <w:trHeight w:val="300"/>
        </w:trPr>
        <w:tc>
          <w:tcPr>
            <w:tcW w:w="2547" w:type="dxa"/>
            <w:shd w:val="clear" w:color="auto" w:fill="DEEAF6" w:themeFill="accent1" w:themeFillTint="33"/>
            <w:noWrap/>
            <w:vAlign w:val="center"/>
          </w:tcPr>
          <w:p w14:paraId="2B6B646D" w14:textId="77777777" w:rsidR="00A02369" w:rsidRPr="00C0186C" w:rsidRDefault="00A02369"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Ishodi</w:t>
            </w:r>
          </w:p>
        </w:tc>
        <w:tc>
          <w:tcPr>
            <w:tcW w:w="7371" w:type="dxa"/>
            <w:shd w:val="clear" w:color="auto" w:fill="DEEAF6" w:themeFill="accent1" w:themeFillTint="33"/>
            <w:noWrap/>
            <w:vAlign w:val="center"/>
          </w:tcPr>
          <w:p w14:paraId="51F86AEF" w14:textId="77777777" w:rsidR="00A02369" w:rsidRPr="00C0186C" w:rsidRDefault="00A02369" w:rsidP="00B70EE8">
            <w:pPr>
              <w:pStyle w:val="ListParagraph"/>
              <w:numPr>
                <w:ilvl w:val="0"/>
                <w:numId w:val="30"/>
              </w:numPr>
              <w:spacing w:before="0"/>
              <w:rPr>
                <w:rFonts w:ascii="Times New Roman" w:hAnsi="Times New Roman" w:cs="Times New Roman"/>
                <w:sz w:val="24"/>
                <w:szCs w:val="24"/>
              </w:rPr>
            </w:pPr>
            <w:r w:rsidRPr="00C0186C">
              <w:rPr>
                <w:rFonts w:ascii="Times New Roman" w:hAnsi="Times New Roman" w:cs="Times New Roman"/>
                <w:b/>
                <w:bCs/>
                <w:color w:val="000000"/>
                <w:kern w:val="24"/>
                <w:sz w:val="24"/>
                <w:szCs w:val="24"/>
              </w:rPr>
              <w:t>Povećanje zaposlenosti;</w:t>
            </w:r>
            <w:r w:rsidRPr="00C0186C">
              <w:rPr>
                <w:rFonts w:ascii="Times New Roman" w:hAnsi="Times New Roman" w:cs="Times New Roman"/>
                <w:color w:val="292934"/>
                <w:kern w:val="24"/>
                <w:sz w:val="24"/>
                <w:szCs w:val="24"/>
              </w:rPr>
              <w:t xml:space="preserve"> </w:t>
            </w:r>
            <w:r w:rsidRPr="00C0186C">
              <w:rPr>
                <w:rFonts w:ascii="Times New Roman" w:hAnsi="Times New Roman" w:cs="Times New Roman"/>
                <w:b/>
                <w:bCs/>
                <w:color w:val="000000"/>
                <w:kern w:val="24"/>
                <w:sz w:val="24"/>
                <w:szCs w:val="24"/>
              </w:rPr>
              <w:t>Porast broja poduzetnika i obrtnika;</w:t>
            </w:r>
          </w:p>
          <w:p w14:paraId="0F9C2D91" w14:textId="459124CC" w:rsidR="00A02369" w:rsidRPr="00C0186C" w:rsidRDefault="00A02369" w:rsidP="00B70EE8">
            <w:pPr>
              <w:pStyle w:val="ListParagraph"/>
              <w:numPr>
                <w:ilvl w:val="0"/>
                <w:numId w:val="30"/>
              </w:numPr>
              <w:spacing w:before="0"/>
              <w:rPr>
                <w:rFonts w:ascii="Times New Roman" w:eastAsia="Times New Roman" w:hAnsi="Times New Roman" w:cs="Times New Roman"/>
                <w:b/>
                <w:bCs/>
                <w:sz w:val="24"/>
                <w:szCs w:val="24"/>
                <w:lang w:eastAsia="hr-HR"/>
              </w:rPr>
            </w:pPr>
            <w:r w:rsidRPr="00C0186C">
              <w:rPr>
                <w:rFonts w:ascii="Times New Roman" w:hAnsi="Times New Roman" w:cs="Times New Roman"/>
                <w:b/>
                <w:bCs/>
                <w:color w:val="000000"/>
                <w:kern w:val="24"/>
                <w:sz w:val="24"/>
                <w:szCs w:val="24"/>
              </w:rPr>
              <w:t>Povećanje kapaciteta lokalnih proračuna</w:t>
            </w:r>
          </w:p>
        </w:tc>
      </w:tr>
    </w:tbl>
    <w:p w14:paraId="0A27BF8D" w14:textId="77777777" w:rsidR="00905EFB" w:rsidRPr="00C0186C" w:rsidRDefault="00905EFB" w:rsidP="007634EA">
      <w:pPr>
        <w:spacing w:before="0" w:after="0"/>
        <w:rPr>
          <w:rFonts w:ascii="Times New Roman" w:eastAsia="Calibri" w:hAnsi="Times New Roman" w:cs="Times New Roman"/>
          <w:b/>
          <w:bCs/>
          <w:sz w:val="24"/>
          <w:szCs w:val="24"/>
        </w:rPr>
      </w:pPr>
      <w:bookmarkStart w:id="19" w:name="_Hlk24327658"/>
      <w:bookmarkEnd w:id="18"/>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42"/>
      </w:tblGrid>
      <w:tr w:rsidR="0083583A" w:rsidRPr="00C0186C" w14:paraId="1E8ED2E8" w14:textId="77777777" w:rsidTr="00E4439F">
        <w:trPr>
          <w:trHeight w:val="300"/>
        </w:trPr>
        <w:tc>
          <w:tcPr>
            <w:tcW w:w="2547" w:type="dxa"/>
            <w:shd w:val="clear" w:color="auto" w:fill="5B9BD5" w:themeFill="accent1"/>
            <w:noWrap/>
            <w:vAlign w:val="center"/>
            <w:hideMark/>
          </w:tcPr>
          <w:p w14:paraId="69916BAC" w14:textId="77777777" w:rsidR="0083583A" w:rsidRPr="00E4439F" w:rsidRDefault="0083583A" w:rsidP="00B70EE8">
            <w:pPr>
              <w:spacing w:before="0" w:after="0"/>
              <w:jc w:val="center"/>
              <w:rPr>
                <w:rFonts w:ascii="Times New Roman" w:eastAsia="Times New Roman" w:hAnsi="Times New Roman" w:cs="Times New Roman"/>
                <w:b/>
                <w:bCs/>
                <w:color w:val="FFFFFF" w:themeColor="background1"/>
                <w:sz w:val="24"/>
                <w:szCs w:val="24"/>
                <w:lang w:eastAsia="hr-HR"/>
              </w:rPr>
            </w:pPr>
            <w:bookmarkStart w:id="20" w:name="_Hlk34204738"/>
            <w:bookmarkStart w:id="21" w:name="_Hlk27390783"/>
            <w:r w:rsidRPr="00E4439F">
              <w:rPr>
                <w:rFonts w:ascii="Times New Roman" w:eastAsia="Times New Roman" w:hAnsi="Times New Roman" w:cs="Times New Roman"/>
                <w:b/>
                <w:bCs/>
                <w:color w:val="FFFFFF" w:themeColor="background1"/>
                <w:sz w:val="24"/>
                <w:szCs w:val="24"/>
                <w:lang w:eastAsia="hr-HR"/>
              </w:rPr>
              <w:t>CILJ 2.</w:t>
            </w:r>
          </w:p>
        </w:tc>
        <w:tc>
          <w:tcPr>
            <w:tcW w:w="7342" w:type="dxa"/>
            <w:shd w:val="clear" w:color="auto" w:fill="5B9BD5" w:themeFill="accent1"/>
            <w:noWrap/>
            <w:vAlign w:val="center"/>
            <w:hideMark/>
          </w:tcPr>
          <w:p w14:paraId="4D8265F9" w14:textId="4532429E" w:rsidR="0083583A" w:rsidRPr="00E4439F" w:rsidRDefault="0083583A" w:rsidP="00B70EE8">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 xml:space="preserve">DEMOGRAFSKA REVITALIZACIJA </w:t>
            </w:r>
          </w:p>
        </w:tc>
      </w:tr>
      <w:bookmarkEnd w:id="20"/>
      <w:tr w:rsidR="0083583A" w:rsidRPr="00C0186C" w14:paraId="688BCD5F" w14:textId="77777777" w:rsidTr="00E4439F">
        <w:trPr>
          <w:trHeight w:val="600"/>
        </w:trPr>
        <w:tc>
          <w:tcPr>
            <w:tcW w:w="2547" w:type="dxa"/>
            <w:shd w:val="clear" w:color="auto" w:fill="5B9BD5" w:themeFill="accent1"/>
            <w:noWrap/>
            <w:vAlign w:val="center"/>
          </w:tcPr>
          <w:p w14:paraId="683DD2C3" w14:textId="77777777" w:rsidR="0083583A" w:rsidRPr="00E4439F" w:rsidRDefault="0083583A" w:rsidP="00B70EE8">
            <w:pPr>
              <w:spacing w:before="0" w:after="0"/>
              <w:jc w:val="center"/>
              <w:rPr>
                <w:rFonts w:ascii="Times New Roman" w:eastAsia="Times New Roman" w:hAnsi="Times New Roman" w:cs="Times New Roman"/>
                <w:b/>
                <w:color w:val="FFFFFF" w:themeColor="background1"/>
                <w:sz w:val="24"/>
                <w:szCs w:val="24"/>
                <w:lang w:eastAsia="hr-HR"/>
              </w:rPr>
            </w:pPr>
            <w:r w:rsidRPr="00E4439F">
              <w:rPr>
                <w:rFonts w:ascii="Times New Roman" w:eastAsia="Times New Roman" w:hAnsi="Times New Roman" w:cs="Times New Roman"/>
                <w:b/>
                <w:color w:val="FFFFFF" w:themeColor="background1"/>
                <w:sz w:val="24"/>
                <w:szCs w:val="24"/>
                <w:lang w:eastAsia="hr-HR"/>
              </w:rPr>
              <w:t>Mjera 2.1.</w:t>
            </w:r>
          </w:p>
        </w:tc>
        <w:tc>
          <w:tcPr>
            <w:tcW w:w="7342" w:type="dxa"/>
            <w:shd w:val="clear" w:color="auto" w:fill="5B9BD5" w:themeFill="accent1"/>
            <w:vAlign w:val="center"/>
          </w:tcPr>
          <w:p w14:paraId="26CB83CB" w14:textId="77777777" w:rsidR="0083583A" w:rsidRPr="00E4439F" w:rsidRDefault="0083583A" w:rsidP="00B70EE8">
            <w:pPr>
              <w:spacing w:before="0" w:after="0"/>
              <w:jc w:val="both"/>
              <w:rPr>
                <w:rFonts w:ascii="Times New Roman" w:eastAsia="Times New Roman" w:hAnsi="Times New Roman" w:cs="Times New Roman"/>
                <w:b/>
                <w:color w:val="FFFFFF" w:themeColor="background1"/>
                <w:sz w:val="24"/>
                <w:szCs w:val="24"/>
                <w:lang w:eastAsia="hr-HR"/>
              </w:rPr>
            </w:pPr>
            <w:r w:rsidRPr="00E4439F">
              <w:rPr>
                <w:rFonts w:ascii="Times New Roman" w:eastAsia="Times New Roman" w:hAnsi="Times New Roman" w:cs="Times New Roman"/>
                <w:b/>
                <w:color w:val="FFFFFF" w:themeColor="background1"/>
                <w:sz w:val="24"/>
                <w:szCs w:val="24"/>
                <w:lang w:eastAsia="hr-HR"/>
              </w:rPr>
              <w:t>ZADRŽAVANJE POSTOJEĆEG</w:t>
            </w:r>
            <w:r w:rsidR="002A19BC" w:rsidRPr="00E4439F">
              <w:rPr>
                <w:rFonts w:ascii="Times New Roman" w:eastAsia="Times New Roman" w:hAnsi="Times New Roman" w:cs="Times New Roman"/>
                <w:b/>
                <w:color w:val="FFFFFF" w:themeColor="background1"/>
                <w:sz w:val="24"/>
                <w:szCs w:val="24"/>
                <w:lang w:eastAsia="hr-HR"/>
              </w:rPr>
              <w:t xml:space="preserve"> I</w:t>
            </w:r>
            <w:r w:rsidRPr="00E4439F">
              <w:rPr>
                <w:rFonts w:ascii="Times New Roman" w:eastAsia="Times New Roman" w:hAnsi="Times New Roman" w:cs="Times New Roman"/>
                <w:b/>
                <w:color w:val="FFFFFF" w:themeColor="background1"/>
                <w:sz w:val="24"/>
                <w:szCs w:val="24"/>
                <w:lang w:eastAsia="hr-HR"/>
              </w:rPr>
              <w:t xml:space="preserve"> POVRAT ISELJENOG </w:t>
            </w:r>
            <w:r w:rsidR="002A19BC" w:rsidRPr="00E4439F">
              <w:rPr>
                <w:rFonts w:ascii="Times New Roman" w:eastAsia="Times New Roman" w:hAnsi="Times New Roman" w:cs="Times New Roman"/>
                <w:b/>
                <w:color w:val="FFFFFF" w:themeColor="background1"/>
                <w:sz w:val="24"/>
                <w:szCs w:val="24"/>
                <w:lang w:eastAsia="hr-HR"/>
              </w:rPr>
              <w:t>STANOVNIŠTVA TE</w:t>
            </w:r>
            <w:r w:rsidR="00A02369" w:rsidRPr="00E4439F">
              <w:rPr>
                <w:rFonts w:ascii="Times New Roman" w:eastAsia="Times New Roman" w:hAnsi="Times New Roman" w:cs="Times New Roman"/>
                <w:b/>
                <w:color w:val="FFFFFF" w:themeColor="background1"/>
                <w:sz w:val="24"/>
                <w:szCs w:val="24"/>
                <w:lang w:eastAsia="hr-HR"/>
              </w:rPr>
              <w:t xml:space="preserve"> </w:t>
            </w:r>
            <w:r w:rsidR="002A19BC" w:rsidRPr="00E4439F">
              <w:rPr>
                <w:rFonts w:ascii="Times New Roman" w:eastAsia="Times New Roman" w:hAnsi="Times New Roman" w:cs="Times New Roman"/>
                <w:b/>
                <w:color w:val="FFFFFF" w:themeColor="background1"/>
                <w:sz w:val="24"/>
                <w:szCs w:val="24"/>
                <w:lang w:eastAsia="hr-HR"/>
              </w:rPr>
              <w:t>DOSELJAVANJE NOVOG</w:t>
            </w:r>
            <w:r w:rsidR="00A02369" w:rsidRPr="00E4439F">
              <w:rPr>
                <w:rFonts w:ascii="Times New Roman" w:eastAsia="Times New Roman" w:hAnsi="Times New Roman" w:cs="Times New Roman"/>
                <w:b/>
                <w:color w:val="FFFFFF" w:themeColor="background1"/>
                <w:sz w:val="24"/>
                <w:szCs w:val="24"/>
                <w:lang w:eastAsia="hr-HR"/>
              </w:rPr>
              <w:t xml:space="preserve"> </w:t>
            </w:r>
            <w:r w:rsidRPr="00E4439F">
              <w:rPr>
                <w:rFonts w:ascii="Times New Roman" w:eastAsia="Times New Roman" w:hAnsi="Times New Roman" w:cs="Times New Roman"/>
                <w:b/>
                <w:color w:val="FFFFFF" w:themeColor="background1"/>
                <w:sz w:val="24"/>
                <w:szCs w:val="24"/>
                <w:lang w:eastAsia="hr-HR"/>
              </w:rPr>
              <w:t>STANOVNIŠTVA</w:t>
            </w:r>
          </w:p>
        </w:tc>
      </w:tr>
      <w:tr w:rsidR="0083583A" w:rsidRPr="00C0186C" w14:paraId="5F5C215E" w14:textId="77777777" w:rsidTr="00D32164">
        <w:trPr>
          <w:trHeight w:val="600"/>
        </w:trPr>
        <w:tc>
          <w:tcPr>
            <w:tcW w:w="2547" w:type="dxa"/>
            <w:shd w:val="clear" w:color="auto" w:fill="DEEAF6" w:themeFill="accent1" w:themeFillTint="33"/>
            <w:noWrap/>
            <w:vAlign w:val="center"/>
          </w:tcPr>
          <w:p w14:paraId="5652B26B" w14:textId="77777777" w:rsidR="0083583A" w:rsidRPr="00C0186C" w:rsidRDefault="0083583A" w:rsidP="00B70EE8">
            <w:pPr>
              <w:spacing w:before="0" w:after="0"/>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 xml:space="preserve">Područje djelovanja </w:t>
            </w:r>
          </w:p>
        </w:tc>
        <w:tc>
          <w:tcPr>
            <w:tcW w:w="7342" w:type="dxa"/>
            <w:shd w:val="clear" w:color="auto" w:fill="DEEAF6" w:themeFill="accent1" w:themeFillTint="33"/>
            <w:vAlign w:val="center"/>
          </w:tcPr>
          <w:p w14:paraId="3D9384D8" w14:textId="77777777" w:rsidR="0083583A" w:rsidRPr="00C0186C" w:rsidRDefault="0083583A" w:rsidP="00B70EE8">
            <w:pPr>
              <w:spacing w:before="0" w:after="0"/>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Demografska mjera; socijalna mjera; gospodarska mjera</w:t>
            </w:r>
          </w:p>
        </w:tc>
      </w:tr>
      <w:tr w:rsidR="0083583A" w:rsidRPr="00C0186C" w14:paraId="189BAF81" w14:textId="77777777" w:rsidTr="00D32164">
        <w:trPr>
          <w:trHeight w:val="600"/>
        </w:trPr>
        <w:tc>
          <w:tcPr>
            <w:tcW w:w="2547" w:type="dxa"/>
            <w:shd w:val="clear" w:color="auto" w:fill="DEEAF6" w:themeFill="accent1" w:themeFillTint="33"/>
            <w:noWrap/>
            <w:vAlign w:val="center"/>
          </w:tcPr>
          <w:p w14:paraId="6C78F740" w14:textId="77777777" w:rsidR="0083583A" w:rsidRPr="00C0186C" w:rsidRDefault="0083583A" w:rsidP="001C395D">
            <w:pPr>
              <w:spacing w:before="0" w:after="0"/>
              <w:jc w:val="center"/>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Ishodi</w:t>
            </w:r>
          </w:p>
        </w:tc>
        <w:tc>
          <w:tcPr>
            <w:tcW w:w="7342" w:type="dxa"/>
            <w:shd w:val="clear" w:color="auto" w:fill="DEEAF6" w:themeFill="accent1" w:themeFillTint="33"/>
            <w:vAlign w:val="center"/>
          </w:tcPr>
          <w:p w14:paraId="77B245DC" w14:textId="77777777" w:rsidR="00CC227B" w:rsidRPr="00C0186C" w:rsidRDefault="0083583A" w:rsidP="00B70EE8">
            <w:pPr>
              <w:pStyle w:val="ListParagraph"/>
              <w:numPr>
                <w:ilvl w:val="0"/>
                <w:numId w:val="31"/>
              </w:numPr>
              <w:spacing w:before="0"/>
              <w:jc w:val="both"/>
              <w:rPr>
                <w:rFonts w:ascii="Times New Roman" w:hAnsi="Times New Roman" w:cs="Times New Roman"/>
                <w:b/>
                <w:sz w:val="24"/>
                <w:szCs w:val="24"/>
              </w:rPr>
            </w:pPr>
            <w:r w:rsidRPr="00C0186C">
              <w:rPr>
                <w:rFonts w:ascii="Times New Roman" w:hAnsi="Times New Roman" w:cs="Times New Roman"/>
                <w:b/>
                <w:sz w:val="24"/>
                <w:szCs w:val="24"/>
              </w:rPr>
              <w:t xml:space="preserve">Povećanje broja stanovnika </w:t>
            </w:r>
          </w:p>
          <w:p w14:paraId="0D2F139E" w14:textId="77777777" w:rsidR="00CC227B" w:rsidRPr="00C0186C" w:rsidRDefault="0083583A" w:rsidP="00B70EE8">
            <w:pPr>
              <w:pStyle w:val="ListParagraph"/>
              <w:numPr>
                <w:ilvl w:val="0"/>
                <w:numId w:val="31"/>
              </w:numPr>
              <w:spacing w:before="0"/>
              <w:jc w:val="both"/>
              <w:rPr>
                <w:rFonts w:ascii="Times New Roman" w:hAnsi="Times New Roman" w:cs="Times New Roman"/>
                <w:b/>
                <w:sz w:val="24"/>
                <w:szCs w:val="24"/>
              </w:rPr>
            </w:pPr>
            <w:r w:rsidRPr="00C0186C">
              <w:rPr>
                <w:rFonts w:ascii="Times New Roman" w:hAnsi="Times New Roman" w:cs="Times New Roman"/>
                <w:b/>
                <w:sz w:val="24"/>
                <w:szCs w:val="24"/>
              </w:rPr>
              <w:t>Povećanje broja kućanstava</w:t>
            </w:r>
          </w:p>
          <w:p w14:paraId="62105044" w14:textId="77777777" w:rsidR="00CC227B" w:rsidRPr="00C0186C" w:rsidRDefault="0083583A" w:rsidP="00B70EE8">
            <w:pPr>
              <w:pStyle w:val="ListParagraph"/>
              <w:numPr>
                <w:ilvl w:val="0"/>
                <w:numId w:val="31"/>
              </w:numPr>
              <w:spacing w:before="0"/>
              <w:jc w:val="both"/>
              <w:rPr>
                <w:rFonts w:ascii="Times New Roman" w:hAnsi="Times New Roman" w:cs="Times New Roman"/>
                <w:b/>
                <w:sz w:val="24"/>
                <w:szCs w:val="24"/>
              </w:rPr>
            </w:pPr>
            <w:r w:rsidRPr="00C0186C">
              <w:rPr>
                <w:rFonts w:ascii="Times New Roman" w:hAnsi="Times New Roman" w:cs="Times New Roman"/>
                <w:b/>
                <w:sz w:val="24"/>
                <w:szCs w:val="24"/>
              </w:rPr>
              <w:t>Povećanje kvalitete života i dostupnosti lokalnih sadržaja i usluga</w:t>
            </w:r>
          </w:p>
          <w:p w14:paraId="26E41F90" w14:textId="77777777" w:rsidR="0083583A" w:rsidRPr="00C0186C" w:rsidRDefault="0083583A" w:rsidP="00B70EE8">
            <w:pPr>
              <w:pStyle w:val="ListParagraph"/>
              <w:numPr>
                <w:ilvl w:val="0"/>
                <w:numId w:val="31"/>
              </w:numPr>
              <w:spacing w:before="0"/>
              <w:jc w:val="both"/>
              <w:rPr>
                <w:rFonts w:ascii="Times New Roman" w:hAnsi="Times New Roman" w:cs="Times New Roman"/>
                <w:b/>
                <w:sz w:val="24"/>
                <w:szCs w:val="24"/>
              </w:rPr>
            </w:pPr>
            <w:r w:rsidRPr="00C0186C">
              <w:rPr>
                <w:rFonts w:ascii="Times New Roman" w:hAnsi="Times New Roman" w:cs="Times New Roman"/>
                <w:b/>
                <w:sz w:val="24"/>
                <w:szCs w:val="24"/>
              </w:rPr>
              <w:t>Povećanje obrazovnih mogućnosti za lokalno stanovništvo</w:t>
            </w:r>
          </w:p>
        </w:tc>
      </w:tr>
      <w:tr w:rsidR="0083583A" w:rsidRPr="00C0186C" w14:paraId="023444E8" w14:textId="77777777" w:rsidTr="00E4439F">
        <w:trPr>
          <w:trHeight w:val="600"/>
        </w:trPr>
        <w:tc>
          <w:tcPr>
            <w:tcW w:w="2547" w:type="dxa"/>
            <w:shd w:val="clear" w:color="auto" w:fill="5B9BD5" w:themeFill="accent1"/>
            <w:noWrap/>
            <w:vAlign w:val="center"/>
          </w:tcPr>
          <w:p w14:paraId="27A8B9B0" w14:textId="77777777" w:rsidR="0083583A" w:rsidRPr="00E4439F" w:rsidRDefault="0083583A" w:rsidP="00B70EE8">
            <w:pPr>
              <w:spacing w:before="0" w:after="0"/>
              <w:jc w:val="center"/>
              <w:rPr>
                <w:rFonts w:ascii="Times New Roman" w:eastAsia="Times New Roman" w:hAnsi="Times New Roman" w:cs="Times New Roman"/>
                <w:b/>
                <w:color w:val="FFFFFF" w:themeColor="background1"/>
                <w:sz w:val="24"/>
                <w:szCs w:val="24"/>
                <w:lang w:eastAsia="hr-HR"/>
              </w:rPr>
            </w:pPr>
            <w:r w:rsidRPr="00E4439F">
              <w:rPr>
                <w:rFonts w:ascii="Times New Roman" w:eastAsia="Times New Roman" w:hAnsi="Times New Roman" w:cs="Times New Roman"/>
                <w:b/>
                <w:color w:val="FFFFFF" w:themeColor="background1"/>
                <w:sz w:val="24"/>
                <w:szCs w:val="24"/>
                <w:lang w:eastAsia="hr-HR"/>
              </w:rPr>
              <w:t>Mjera 2.2.</w:t>
            </w:r>
          </w:p>
        </w:tc>
        <w:tc>
          <w:tcPr>
            <w:tcW w:w="7342" w:type="dxa"/>
            <w:shd w:val="clear" w:color="auto" w:fill="5B9BD5" w:themeFill="accent1"/>
            <w:vAlign w:val="center"/>
          </w:tcPr>
          <w:p w14:paraId="0EE855E7" w14:textId="77777777" w:rsidR="0083583A" w:rsidRPr="00E4439F" w:rsidRDefault="0083583A" w:rsidP="00B70EE8">
            <w:pPr>
              <w:spacing w:before="0" w:after="0"/>
              <w:jc w:val="both"/>
              <w:rPr>
                <w:rFonts w:ascii="Times New Roman" w:eastAsia="Times New Roman" w:hAnsi="Times New Roman" w:cs="Times New Roman"/>
                <w:b/>
                <w:color w:val="FFFFFF" w:themeColor="background1"/>
                <w:sz w:val="24"/>
                <w:szCs w:val="24"/>
                <w:lang w:eastAsia="hr-HR"/>
              </w:rPr>
            </w:pPr>
            <w:r w:rsidRPr="00E4439F">
              <w:rPr>
                <w:rFonts w:ascii="Times New Roman" w:eastAsia="Times New Roman" w:hAnsi="Times New Roman" w:cs="Times New Roman"/>
                <w:b/>
                <w:color w:val="FFFFFF" w:themeColor="background1"/>
                <w:sz w:val="24"/>
                <w:szCs w:val="24"/>
                <w:lang w:eastAsia="hr-HR"/>
              </w:rPr>
              <w:t>POTICANJE PRIRODNOG PRIRASTA STANOVNIŠTVA</w:t>
            </w:r>
          </w:p>
        </w:tc>
      </w:tr>
      <w:tr w:rsidR="0083583A" w:rsidRPr="00C0186C" w14:paraId="1C7198A9" w14:textId="77777777" w:rsidTr="00D32164">
        <w:trPr>
          <w:trHeight w:val="600"/>
        </w:trPr>
        <w:tc>
          <w:tcPr>
            <w:tcW w:w="2547" w:type="dxa"/>
            <w:shd w:val="clear" w:color="auto" w:fill="DEEAF6" w:themeFill="accent1" w:themeFillTint="33"/>
            <w:noWrap/>
            <w:vAlign w:val="center"/>
          </w:tcPr>
          <w:p w14:paraId="2A441E6C" w14:textId="77777777" w:rsidR="0083583A" w:rsidRPr="00C0186C" w:rsidRDefault="0083583A" w:rsidP="00B70EE8">
            <w:pPr>
              <w:spacing w:before="0" w:after="0"/>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Područje djelovanja</w:t>
            </w:r>
          </w:p>
        </w:tc>
        <w:tc>
          <w:tcPr>
            <w:tcW w:w="7342" w:type="dxa"/>
            <w:shd w:val="clear" w:color="auto" w:fill="DEEAF6" w:themeFill="accent1" w:themeFillTint="33"/>
            <w:vAlign w:val="center"/>
          </w:tcPr>
          <w:p w14:paraId="124FDA2D" w14:textId="77777777" w:rsidR="0083583A" w:rsidRPr="00C0186C" w:rsidRDefault="0083583A" w:rsidP="00B70EE8">
            <w:pPr>
              <w:spacing w:before="0" w:after="0"/>
              <w:jc w:val="both"/>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Demografska mjera; socijalna mjera</w:t>
            </w:r>
          </w:p>
        </w:tc>
      </w:tr>
      <w:tr w:rsidR="0083583A" w:rsidRPr="00C0186C" w14:paraId="624798FA" w14:textId="77777777" w:rsidTr="00D32164">
        <w:trPr>
          <w:trHeight w:val="600"/>
        </w:trPr>
        <w:tc>
          <w:tcPr>
            <w:tcW w:w="2547" w:type="dxa"/>
            <w:shd w:val="clear" w:color="auto" w:fill="DEEAF6" w:themeFill="accent1" w:themeFillTint="33"/>
            <w:noWrap/>
            <w:vAlign w:val="center"/>
          </w:tcPr>
          <w:p w14:paraId="4CFA5A98" w14:textId="5F17C423" w:rsidR="0083583A" w:rsidRPr="00C0186C" w:rsidRDefault="0083583A" w:rsidP="001C395D">
            <w:pPr>
              <w:spacing w:before="0" w:after="0"/>
              <w:jc w:val="center"/>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Ishodi</w:t>
            </w:r>
          </w:p>
        </w:tc>
        <w:tc>
          <w:tcPr>
            <w:tcW w:w="7342" w:type="dxa"/>
            <w:shd w:val="clear" w:color="auto" w:fill="DEEAF6" w:themeFill="accent1" w:themeFillTint="33"/>
            <w:vAlign w:val="center"/>
          </w:tcPr>
          <w:p w14:paraId="3B7252D5" w14:textId="77777777" w:rsidR="0083583A" w:rsidRPr="00C0186C" w:rsidRDefault="0083583A" w:rsidP="00B70EE8">
            <w:pPr>
              <w:pStyle w:val="ListParagraph"/>
              <w:numPr>
                <w:ilvl w:val="0"/>
                <w:numId w:val="32"/>
              </w:numPr>
              <w:spacing w:before="0"/>
              <w:jc w:val="both"/>
              <w:rPr>
                <w:rFonts w:ascii="Times New Roman" w:hAnsi="Times New Roman" w:cs="Times New Roman"/>
                <w:b/>
                <w:sz w:val="24"/>
                <w:szCs w:val="24"/>
              </w:rPr>
            </w:pPr>
            <w:r w:rsidRPr="00C0186C">
              <w:rPr>
                <w:rFonts w:ascii="Times New Roman" w:hAnsi="Times New Roman" w:cs="Times New Roman"/>
                <w:b/>
                <w:sz w:val="24"/>
                <w:szCs w:val="24"/>
              </w:rPr>
              <w:t>Povećanje nataliteta i prirodnog prirasta stanovništva</w:t>
            </w:r>
          </w:p>
          <w:p w14:paraId="2BE09883" w14:textId="77777777" w:rsidR="0083583A" w:rsidRPr="00C0186C" w:rsidRDefault="0083583A" w:rsidP="00B70EE8">
            <w:pPr>
              <w:pStyle w:val="ListParagraph"/>
              <w:numPr>
                <w:ilvl w:val="0"/>
                <w:numId w:val="32"/>
              </w:numPr>
              <w:spacing w:before="0"/>
              <w:jc w:val="both"/>
              <w:rPr>
                <w:rFonts w:ascii="Times New Roman" w:hAnsi="Times New Roman" w:cs="Times New Roman"/>
                <w:b/>
                <w:sz w:val="24"/>
                <w:szCs w:val="24"/>
              </w:rPr>
            </w:pPr>
            <w:r w:rsidRPr="00C0186C">
              <w:rPr>
                <w:rFonts w:ascii="Times New Roman" w:hAnsi="Times New Roman" w:cs="Times New Roman"/>
                <w:b/>
                <w:sz w:val="24"/>
                <w:szCs w:val="24"/>
              </w:rPr>
              <w:t>Povećanje odgojno-obrazovnih kapaciteta za djecu</w:t>
            </w:r>
          </w:p>
        </w:tc>
      </w:tr>
      <w:tr w:rsidR="0083583A" w:rsidRPr="00C0186C" w14:paraId="4531152C" w14:textId="77777777" w:rsidTr="00E4439F">
        <w:trPr>
          <w:trHeight w:val="600"/>
        </w:trPr>
        <w:tc>
          <w:tcPr>
            <w:tcW w:w="2547" w:type="dxa"/>
            <w:shd w:val="clear" w:color="auto" w:fill="5B9BD5" w:themeFill="accent1"/>
            <w:noWrap/>
            <w:vAlign w:val="center"/>
          </w:tcPr>
          <w:p w14:paraId="6FC4A248" w14:textId="77777777" w:rsidR="0083583A" w:rsidRPr="00905EFB" w:rsidRDefault="0083583A" w:rsidP="00905EFB">
            <w:pPr>
              <w:spacing w:before="0" w:after="0"/>
              <w:jc w:val="center"/>
              <w:rPr>
                <w:rFonts w:ascii="Times New Roman" w:eastAsia="Times New Roman" w:hAnsi="Times New Roman" w:cs="Times New Roman"/>
                <w:b/>
                <w:color w:val="FFFFFF" w:themeColor="background1"/>
                <w:sz w:val="24"/>
                <w:szCs w:val="24"/>
                <w:lang w:eastAsia="hr-HR"/>
              </w:rPr>
            </w:pPr>
            <w:r w:rsidRPr="00905EFB">
              <w:rPr>
                <w:rFonts w:ascii="Times New Roman" w:eastAsia="Times New Roman" w:hAnsi="Times New Roman" w:cs="Times New Roman"/>
                <w:b/>
                <w:color w:val="FFFFFF" w:themeColor="background1"/>
                <w:sz w:val="24"/>
                <w:szCs w:val="24"/>
                <w:lang w:eastAsia="hr-HR"/>
              </w:rPr>
              <w:t>Mjera 2.3.</w:t>
            </w:r>
          </w:p>
        </w:tc>
        <w:tc>
          <w:tcPr>
            <w:tcW w:w="7342" w:type="dxa"/>
            <w:shd w:val="clear" w:color="auto" w:fill="5B9BD5" w:themeFill="accent1"/>
            <w:vAlign w:val="center"/>
          </w:tcPr>
          <w:p w14:paraId="6592A0D6" w14:textId="76EC6702" w:rsidR="0083583A" w:rsidRPr="00905EFB" w:rsidRDefault="0083583A" w:rsidP="00B70EE8">
            <w:pPr>
              <w:spacing w:before="0" w:after="0"/>
              <w:jc w:val="both"/>
              <w:rPr>
                <w:rFonts w:ascii="Times New Roman" w:eastAsia="Times New Roman" w:hAnsi="Times New Roman" w:cs="Times New Roman"/>
                <w:b/>
                <w:color w:val="FFFFFF" w:themeColor="background1"/>
                <w:sz w:val="24"/>
                <w:szCs w:val="24"/>
                <w:lang w:eastAsia="hr-HR"/>
              </w:rPr>
            </w:pPr>
            <w:r w:rsidRPr="00905EFB">
              <w:rPr>
                <w:rFonts w:ascii="Times New Roman" w:eastAsia="Times New Roman" w:hAnsi="Times New Roman" w:cs="Times New Roman"/>
                <w:b/>
                <w:color w:val="FFFFFF" w:themeColor="background1"/>
                <w:sz w:val="24"/>
                <w:szCs w:val="24"/>
                <w:lang w:eastAsia="hr-HR"/>
              </w:rPr>
              <w:t xml:space="preserve">EKONOMSKA I SOCIJALNA INTEGRACIJA </w:t>
            </w:r>
            <w:r w:rsidR="00DC6F8C" w:rsidRPr="00905EFB">
              <w:rPr>
                <w:rFonts w:ascii="Times New Roman" w:eastAsia="Times New Roman" w:hAnsi="Times New Roman" w:cs="Times New Roman"/>
                <w:b/>
                <w:color w:val="FFFFFF" w:themeColor="background1"/>
                <w:sz w:val="24"/>
                <w:szCs w:val="24"/>
                <w:lang w:eastAsia="hr-HR"/>
              </w:rPr>
              <w:t>RANJIVIH DRUŠTVENIH SKUPINA U ZAJEDNICU</w:t>
            </w:r>
          </w:p>
        </w:tc>
      </w:tr>
      <w:tr w:rsidR="0083583A" w:rsidRPr="00C0186C" w14:paraId="2F25F777" w14:textId="77777777" w:rsidTr="001C395D">
        <w:trPr>
          <w:trHeight w:val="600"/>
        </w:trPr>
        <w:tc>
          <w:tcPr>
            <w:tcW w:w="2547" w:type="dxa"/>
            <w:shd w:val="clear" w:color="auto" w:fill="DEEAF6" w:themeFill="accent1" w:themeFillTint="33"/>
            <w:noWrap/>
            <w:vAlign w:val="center"/>
          </w:tcPr>
          <w:p w14:paraId="07061440" w14:textId="77777777" w:rsidR="0083583A" w:rsidRPr="00DF5007" w:rsidRDefault="0083583A" w:rsidP="00B70EE8">
            <w:pPr>
              <w:spacing w:before="0" w:after="0"/>
              <w:rPr>
                <w:rFonts w:ascii="Times New Roman" w:eastAsia="Times New Roman" w:hAnsi="Times New Roman" w:cs="Times New Roman"/>
                <w:b/>
                <w:color w:val="000000" w:themeColor="text1"/>
                <w:sz w:val="24"/>
                <w:szCs w:val="24"/>
                <w:lang w:eastAsia="hr-HR"/>
              </w:rPr>
            </w:pPr>
            <w:r w:rsidRPr="00DF5007">
              <w:rPr>
                <w:rFonts w:ascii="Times New Roman" w:eastAsia="Times New Roman" w:hAnsi="Times New Roman" w:cs="Times New Roman"/>
                <w:b/>
                <w:color w:val="000000" w:themeColor="text1"/>
                <w:sz w:val="24"/>
                <w:szCs w:val="24"/>
                <w:lang w:eastAsia="hr-HR"/>
              </w:rPr>
              <w:t xml:space="preserve">Područje djelovanja </w:t>
            </w:r>
          </w:p>
        </w:tc>
        <w:tc>
          <w:tcPr>
            <w:tcW w:w="7342" w:type="dxa"/>
            <w:shd w:val="clear" w:color="auto" w:fill="DEEAF6" w:themeFill="accent1" w:themeFillTint="33"/>
            <w:vAlign w:val="center"/>
          </w:tcPr>
          <w:p w14:paraId="0F4397DF" w14:textId="77777777" w:rsidR="0083583A" w:rsidRPr="00DF5007" w:rsidRDefault="0083583A" w:rsidP="00B70EE8">
            <w:pPr>
              <w:spacing w:before="0" w:after="0"/>
              <w:jc w:val="both"/>
              <w:rPr>
                <w:rFonts w:ascii="Times New Roman" w:eastAsia="Times New Roman" w:hAnsi="Times New Roman" w:cs="Times New Roman"/>
                <w:b/>
                <w:color w:val="000000" w:themeColor="text1"/>
                <w:sz w:val="24"/>
                <w:szCs w:val="24"/>
                <w:lang w:eastAsia="hr-HR"/>
              </w:rPr>
            </w:pPr>
            <w:r w:rsidRPr="00DF5007">
              <w:rPr>
                <w:rFonts w:ascii="Times New Roman" w:eastAsia="Times New Roman" w:hAnsi="Times New Roman" w:cs="Times New Roman"/>
                <w:b/>
                <w:color w:val="000000" w:themeColor="text1"/>
                <w:sz w:val="24"/>
                <w:szCs w:val="24"/>
                <w:lang w:eastAsia="hr-HR"/>
              </w:rPr>
              <w:t>Socijalna mjera; gospodarska mjera</w:t>
            </w:r>
          </w:p>
        </w:tc>
      </w:tr>
      <w:tr w:rsidR="0083583A" w:rsidRPr="00C0186C" w14:paraId="58DF91C9" w14:textId="77777777" w:rsidTr="00D32164">
        <w:trPr>
          <w:trHeight w:val="600"/>
        </w:trPr>
        <w:tc>
          <w:tcPr>
            <w:tcW w:w="2547" w:type="dxa"/>
            <w:shd w:val="clear" w:color="auto" w:fill="DEEAF6" w:themeFill="accent1" w:themeFillTint="33"/>
            <w:noWrap/>
            <w:vAlign w:val="center"/>
          </w:tcPr>
          <w:p w14:paraId="5E936592" w14:textId="77777777" w:rsidR="0083583A" w:rsidRPr="00DF5007" w:rsidRDefault="0083583A" w:rsidP="001C395D">
            <w:pPr>
              <w:spacing w:before="0" w:after="0"/>
              <w:jc w:val="center"/>
              <w:rPr>
                <w:rFonts w:ascii="Times New Roman" w:eastAsia="Times New Roman" w:hAnsi="Times New Roman" w:cs="Times New Roman"/>
                <w:b/>
                <w:sz w:val="24"/>
                <w:szCs w:val="24"/>
                <w:lang w:eastAsia="hr-HR"/>
              </w:rPr>
            </w:pPr>
            <w:r w:rsidRPr="00DF5007">
              <w:rPr>
                <w:rFonts w:ascii="Times New Roman" w:eastAsia="Times New Roman" w:hAnsi="Times New Roman" w:cs="Times New Roman"/>
                <w:b/>
                <w:sz w:val="24"/>
                <w:szCs w:val="24"/>
                <w:lang w:eastAsia="hr-HR"/>
              </w:rPr>
              <w:t>Ishodi</w:t>
            </w:r>
          </w:p>
        </w:tc>
        <w:tc>
          <w:tcPr>
            <w:tcW w:w="7342" w:type="dxa"/>
            <w:shd w:val="clear" w:color="auto" w:fill="DEEAF6" w:themeFill="accent1" w:themeFillTint="33"/>
            <w:vAlign w:val="center"/>
          </w:tcPr>
          <w:p w14:paraId="57AC8DF8" w14:textId="325348C0" w:rsidR="00CC227B" w:rsidRPr="00DF5007" w:rsidRDefault="0083583A" w:rsidP="00B70EE8">
            <w:pPr>
              <w:pStyle w:val="ListParagraph"/>
              <w:numPr>
                <w:ilvl w:val="0"/>
                <w:numId w:val="33"/>
              </w:numPr>
              <w:spacing w:before="0"/>
              <w:jc w:val="both"/>
              <w:rPr>
                <w:rFonts w:ascii="Times New Roman" w:hAnsi="Times New Roman" w:cs="Times New Roman"/>
                <w:b/>
                <w:sz w:val="24"/>
                <w:szCs w:val="24"/>
              </w:rPr>
            </w:pPr>
            <w:r w:rsidRPr="00DF5007">
              <w:rPr>
                <w:rFonts w:ascii="Times New Roman" w:hAnsi="Times New Roman" w:cs="Times New Roman"/>
                <w:b/>
                <w:sz w:val="24"/>
                <w:szCs w:val="24"/>
              </w:rPr>
              <w:t xml:space="preserve">Povećanje broja dostupnih </w:t>
            </w:r>
            <w:r w:rsidR="00DC6F8C" w:rsidRPr="00DF5007">
              <w:rPr>
                <w:rFonts w:ascii="Times New Roman" w:hAnsi="Times New Roman" w:cs="Times New Roman"/>
                <w:b/>
                <w:sz w:val="24"/>
                <w:szCs w:val="24"/>
              </w:rPr>
              <w:t xml:space="preserve">socijalnih </w:t>
            </w:r>
            <w:r w:rsidRPr="00DF5007">
              <w:rPr>
                <w:rFonts w:ascii="Times New Roman" w:hAnsi="Times New Roman" w:cs="Times New Roman"/>
                <w:b/>
                <w:sz w:val="24"/>
                <w:szCs w:val="24"/>
              </w:rPr>
              <w:t>usluga</w:t>
            </w:r>
            <w:r w:rsidR="00DC6F8C" w:rsidRPr="00DF5007">
              <w:rPr>
                <w:rFonts w:ascii="Times New Roman" w:hAnsi="Times New Roman" w:cs="Times New Roman"/>
                <w:b/>
                <w:sz w:val="24"/>
                <w:szCs w:val="24"/>
              </w:rPr>
              <w:t xml:space="preserve"> za ranjive društvene skupine </w:t>
            </w:r>
            <w:r w:rsidRPr="00DF5007">
              <w:rPr>
                <w:rFonts w:ascii="Times New Roman" w:hAnsi="Times New Roman" w:cs="Times New Roman"/>
                <w:b/>
                <w:sz w:val="24"/>
                <w:szCs w:val="24"/>
              </w:rPr>
              <w:t xml:space="preserve"> </w:t>
            </w:r>
          </w:p>
          <w:p w14:paraId="11CF4D92" w14:textId="1789BE56" w:rsidR="0083583A" w:rsidRPr="00DF5007" w:rsidRDefault="0083583A" w:rsidP="00B70EE8">
            <w:pPr>
              <w:pStyle w:val="ListParagraph"/>
              <w:numPr>
                <w:ilvl w:val="0"/>
                <w:numId w:val="33"/>
              </w:numPr>
              <w:spacing w:before="0"/>
              <w:jc w:val="both"/>
              <w:rPr>
                <w:rFonts w:ascii="Times New Roman" w:hAnsi="Times New Roman" w:cs="Times New Roman"/>
                <w:b/>
                <w:sz w:val="24"/>
                <w:szCs w:val="24"/>
              </w:rPr>
            </w:pPr>
            <w:r w:rsidRPr="00DF5007">
              <w:rPr>
                <w:rFonts w:ascii="Times New Roman" w:hAnsi="Times New Roman" w:cs="Times New Roman"/>
                <w:b/>
                <w:sz w:val="24"/>
                <w:szCs w:val="24"/>
              </w:rPr>
              <w:t xml:space="preserve">Veća </w:t>
            </w:r>
            <w:r w:rsidR="00DC6F8C" w:rsidRPr="00DF5007">
              <w:rPr>
                <w:rFonts w:ascii="Times New Roman" w:hAnsi="Times New Roman" w:cs="Times New Roman"/>
                <w:b/>
                <w:sz w:val="24"/>
                <w:szCs w:val="24"/>
              </w:rPr>
              <w:t>participacija ranjivih društvenih skupina u aktivnostima lokalne zajednice</w:t>
            </w:r>
          </w:p>
        </w:tc>
      </w:tr>
      <w:bookmarkEnd w:id="21"/>
    </w:tbl>
    <w:p w14:paraId="13E8AB42" w14:textId="25C02716" w:rsidR="0083583A" w:rsidRDefault="0083583A" w:rsidP="007634EA">
      <w:pPr>
        <w:spacing w:before="0" w:after="0"/>
        <w:jc w:val="both"/>
        <w:rPr>
          <w:rFonts w:ascii="Times New Roman" w:eastAsia="Calibri" w:hAnsi="Times New Roman" w:cs="Times New Roman"/>
          <w:b/>
          <w:bCs/>
          <w:sz w:val="24"/>
          <w:szCs w:val="24"/>
        </w:rPr>
      </w:pPr>
    </w:p>
    <w:p w14:paraId="57A83388" w14:textId="6ACDDF9D" w:rsidR="001E5E21" w:rsidRDefault="001E5E21" w:rsidP="007634EA">
      <w:pPr>
        <w:spacing w:before="0" w:after="0"/>
        <w:jc w:val="both"/>
        <w:rPr>
          <w:rFonts w:ascii="Times New Roman" w:eastAsia="Calibri" w:hAnsi="Times New Roman" w:cs="Times New Roman"/>
          <w:b/>
          <w:bCs/>
          <w:sz w:val="24"/>
          <w:szCs w:val="24"/>
        </w:rPr>
      </w:pPr>
    </w:p>
    <w:p w14:paraId="5E0DE97B" w14:textId="77777777" w:rsidR="001E5E21" w:rsidRPr="00C0186C" w:rsidRDefault="001E5E21" w:rsidP="007634EA">
      <w:pPr>
        <w:spacing w:before="0" w:after="0"/>
        <w:jc w:val="both"/>
        <w:rPr>
          <w:rFonts w:ascii="Times New Roman" w:eastAsia="Calibri" w:hAnsi="Times New Roman" w:cs="Times New Roman"/>
          <w:b/>
          <w:bCs/>
          <w:sz w:val="24"/>
          <w:szCs w:val="24"/>
        </w:rPr>
      </w:pPr>
    </w:p>
    <w:p w14:paraId="12921CCF" w14:textId="39109202" w:rsidR="007634EA" w:rsidRDefault="0083583A" w:rsidP="007634EA">
      <w:pPr>
        <w:spacing w:before="0" w:after="0"/>
        <w:jc w:val="both"/>
        <w:rPr>
          <w:rFonts w:ascii="Times New Roman" w:eastAsia="Calibri" w:hAnsi="Times New Roman" w:cs="Times New Roman"/>
          <w:bCs/>
          <w:sz w:val="24"/>
          <w:szCs w:val="24"/>
        </w:rPr>
      </w:pPr>
      <w:r w:rsidRPr="00C0186C">
        <w:rPr>
          <w:rFonts w:ascii="Times New Roman" w:eastAsia="Calibri" w:hAnsi="Times New Roman" w:cs="Times New Roman"/>
          <w:b/>
          <w:bCs/>
          <w:sz w:val="24"/>
          <w:szCs w:val="24"/>
        </w:rPr>
        <w:t>Mjera 1.1.</w:t>
      </w:r>
      <w:r w:rsidR="0058346D" w:rsidRPr="00C0186C">
        <w:rPr>
          <w:rFonts w:ascii="Times New Roman" w:eastAsia="Calibri" w:hAnsi="Times New Roman" w:cs="Times New Roman"/>
          <w:b/>
          <w:bCs/>
          <w:sz w:val="24"/>
          <w:szCs w:val="24"/>
        </w:rPr>
        <w:t xml:space="preserve"> Poticanje rasta i razvoja lokalnih gospodarstava </w:t>
      </w:r>
      <w:r w:rsidR="0058346D" w:rsidRPr="00C0186C">
        <w:rPr>
          <w:rFonts w:ascii="Times New Roman" w:eastAsia="Calibri" w:hAnsi="Times New Roman" w:cs="Times New Roman"/>
          <w:bCs/>
          <w:sz w:val="24"/>
          <w:szCs w:val="24"/>
        </w:rPr>
        <w:t>mjera je koja predstavlja preduvjet za unapređenje ne samo gospodarskih potencijala lokalnih samouprava već i osnovn</w:t>
      </w:r>
      <w:r w:rsidR="00F017D4" w:rsidRPr="00C0186C">
        <w:rPr>
          <w:rFonts w:ascii="Times New Roman" w:eastAsia="Calibri" w:hAnsi="Times New Roman" w:cs="Times New Roman"/>
          <w:bCs/>
          <w:sz w:val="24"/>
          <w:szCs w:val="24"/>
        </w:rPr>
        <w:t>i činitelj demografske opstojnosti</w:t>
      </w:r>
      <w:r w:rsidR="0058346D" w:rsidRPr="00C0186C">
        <w:rPr>
          <w:rFonts w:ascii="Times New Roman" w:eastAsia="Calibri" w:hAnsi="Times New Roman" w:cs="Times New Roman"/>
          <w:bCs/>
          <w:sz w:val="24"/>
          <w:szCs w:val="24"/>
        </w:rPr>
        <w:t>, fiskalne održivosti</w:t>
      </w:r>
      <w:r w:rsidR="002258E3" w:rsidRPr="00C0186C">
        <w:rPr>
          <w:rFonts w:ascii="Times New Roman" w:eastAsia="Calibri" w:hAnsi="Times New Roman" w:cs="Times New Roman"/>
          <w:bCs/>
          <w:sz w:val="24"/>
          <w:szCs w:val="24"/>
        </w:rPr>
        <w:t xml:space="preserve"> i</w:t>
      </w:r>
      <w:r w:rsidR="0058346D" w:rsidRPr="00C0186C">
        <w:rPr>
          <w:rFonts w:ascii="Times New Roman" w:eastAsia="Calibri" w:hAnsi="Times New Roman" w:cs="Times New Roman"/>
          <w:bCs/>
          <w:sz w:val="24"/>
          <w:szCs w:val="24"/>
        </w:rPr>
        <w:t xml:space="preserve"> socijalne jednakosti</w:t>
      </w:r>
      <w:r w:rsidR="002258E3" w:rsidRPr="00C0186C">
        <w:rPr>
          <w:rFonts w:ascii="Times New Roman" w:eastAsia="Calibri" w:hAnsi="Times New Roman" w:cs="Times New Roman"/>
          <w:bCs/>
          <w:sz w:val="24"/>
          <w:szCs w:val="24"/>
        </w:rPr>
        <w:t xml:space="preserve">, odnosno unaprjeđenja općeg </w:t>
      </w:r>
      <w:proofErr w:type="spellStart"/>
      <w:r w:rsidR="002258E3" w:rsidRPr="00C0186C">
        <w:rPr>
          <w:rFonts w:ascii="Times New Roman" w:eastAsia="Calibri" w:hAnsi="Times New Roman" w:cs="Times New Roman"/>
          <w:bCs/>
          <w:sz w:val="24"/>
          <w:szCs w:val="24"/>
        </w:rPr>
        <w:t>socio</w:t>
      </w:r>
      <w:proofErr w:type="spellEnd"/>
      <w:r w:rsidR="002258E3" w:rsidRPr="00C0186C">
        <w:rPr>
          <w:rFonts w:ascii="Times New Roman" w:eastAsia="Calibri" w:hAnsi="Times New Roman" w:cs="Times New Roman"/>
          <w:bCs/>
          <w:sz w:val="24"/>
          <w:szCs w:val="24"/>
        </w:rPr>
        <w:t>-ekonomskog položaja potpomognutih područj</w:t>
      </w:r>
      <w:r w:rsidR="0058346D" w:rsidRPr="00C0186C">
        <w:rPr>
          <w:rFonts w:ascii="Times New Roman" w:eastAsia="Calibri" w:hAnsi="Times New Roman" w:cs="Times New Roman"/>
          <w:bCs/>
          <w:sz w:val="24"/>
          <w:szCs w:val="24"/>
        </w:rPr>
        <w:t xml:space="preserve">a. </w:t>
      </w:r>
      <w:r w:rsidR="002258E3" w:rsidRPr="00C0186C">
        <w:rPr>
          <w:rFonts w:ascii="Times New Roman" w:eastAsia="Calibri" w:hAnsi="Times New Roman" w:cs="Times New Roman"/>
          <w:bCs/>
          <w:sz w:val="24"/>
          <w:szCs w:val="24"/>
        </w:rPr>
        <w:t xml:space="preserve">Sukladno tome ova mjera </w:t>
      </w:r>
      <w:r w:rsidR="0058346D" w:rsidRPr="00C0186C">
        <w:rPr>
          <w:rFonts w:ascii="Times New Roman" w:eastAsia="Calibri" w:hAnsi="Times New Roman" w:cs="Times New Roman"/>
          <w:bCs/>
          <w:sz w:val="24"/>
          <w:szCs w:val="24"/>
        </w:rPr>
        <w:t xml:space="preserve">usmjerena </w:t>
      </w:r>
      <w:r w:rsidR="002258E3" w:rsidRPr="00C0186C">
        <w:rPr>
          <w:rFonts w:ascii="Times New Roman" w:eastAsia="Calibri" w:hAnsi="Times New Roman" w:cs="Times New Roman"/>
          <w:bCs/>
          <w:sz w:val="24"/>
          <w:szCs w:val="24"/>
        </w:rPr>
        <w:t xml:space="preserve">je </w:t>
      </w:r>
      <w:r w:rsidR="0058346D" w:rsidRPr="00C0186C">
        <w:rPr>
          <w:rFonts w:ascii="Times New Roman" w:eastAsia="Calibri" w:hAnsi="Times New Roman" w:cs="Times New Roman"/>
          <w:bCs/>
          <w:sz w:val="24"/>
          <w:szCs w:val="24"/>
        </w:rPr>
        <w:t xml:space="preserve">na povećanje broja </w:t>
      </w:r>
      <w:r w:rsidR="002258E3" w:rsidRPr="00C0186C">
        <w:rPr>
          <w:rFonts w:ascii="Times New Roman" w:eastAsia="Calibri" w:hAnsi="Times New Roman" w:cs="Times New Roman"/>
          <w:bCs/>
          <w:sz w:val="24"/>
          <w:szCs w:val="24"/>
        </w:rPr>
        <w:t>produktivnih i održivih poslovnih subjekata</w:t>
      </w:r>
      <w:r w:rsidR="0058346D" w:rsidRPr="00C0186C">
        <w:rPr>
          <w:rFonts w:ascii="Times New Roman" w:eastAsia="Calibri" w:hAnsi="Times New Roman" w:cs="Times New Roman"/>
          <w:bCs/>
          <w:sz w:val="24"/>
          <w:szCs w:val="24"/>
        </w:rPr>
        <w:t xml:space="preserve"> kao i </w:t>
      </w:r>
      <w:r w:rsidR="002258E3" w:rsidRPr="00C0186C">
        <w:rPr>
          <w:rFonts w:ascii="Times New Roman" w:eastAsia="Calibri" w:hAnsi="Times New Roman" w:cs="Times New Roman"/>
          <w:bCs/>
          <w:sz w:val="24"/>
          <w:szCs w:val="24"/>
        </w:rPr>
        <w:t xml:space="preserve">povećanja njihovog kapaciteta zapošljavanja, odnosno kreiranja novih radnih mjesta. Na taj način povećat će se i ukupna ekonomska aktivnost stanovništva, a čije niske razine trenutno predstavljaju kritično negativno razvojno obilježje </w:t>
      </w:r>
      <w:r w:rsidR="0058346D" w:rsidRPr="00C0186C">
        <w:rPr>
          <w:rFonts w:ascii="Times New Roman" w:eastAsia="Calibri" w:hAnsi="Times New Roman" w:cs="Times New Roman"/>
          <w:bCs/>
          <w:sz w:val="24"/>
          <w:szCs w:val="24"/>
        </w:rPr>
        <w:t xml:space="preserve">potpomognutih područja u odnosu na razvijenije </w:t>
      </w:r>
      <w:r w:rsidR="007038CF" w:rsidRPr="00C0186C">
        <w:rPr>
          <w:rFonts w:ascii="Times New Roman" w:eastAsia="Calibri" w:hAnsi="Times New Roman" w:cs="Times New Roman"/>
          <w:bCs/>
          <w:sz w:val="24"/>
          <w:szCs w:val="24"/>
        </w:rPr>
        <w:t>JLS</w:t>
      </w:r>
      <w:r w:rsidR="002A1C4E" w:rsidRPr="00C0186C">
        <w:rPr>
          <w:rFonts w:ascii="Times New Roman" w:eastAsia="Calibri" w:hAnsi="Times New Roman" w:cs="Times New Roman"/>
          <w:bCs/>
          <w:sz w:val="24"/>
          <w:szCs w:val="24"/>
        </w:rPr>
        <w:t>-ove</w:t>
      </w:r>
      <w:r w:rsidR="0058346D" w:rsidRPr="00C0186C">
        <w:rPr>
          <w:rFonts w:ascii="Times New Roman" w:eastAsia="Calibri" w:hAnsi="Times New Roman" w:cs="Times New Roman"/>
          <w:bCs/>
          <w:sz w:val="24"/>
          <w:szCs w:val="24"/>
        </w:rPr>
        <w:t xml:space="preserve">. Naime, </w:t>
      </w:r>
      <w:r w:rsidR="002258E3" w:rsidRPr="00C0186C">
        <w:rPr>
          <w:rFonts w:ascii="Times New Roman" w:eastAsia="Calibri" w:hAnsi="Times New Roman" w:cs="Times New Roman"/>
          <w:bCs/>
          <w:sz w:val="24"/>
          <w:szCs w:val="24"/>
        </w:rPr>
        <w:t>povećanje broja poduzeća i OPG-ova</w:t>
      </w:r>
      <w:r w:rsidR="0058346D" w:rsidRPr="00C0186C">
        <w:rPr>
          <w:rFonts w:ascii="Times New Roman" w:eastAsia="Calibri" w:hAnsi="Times New Roman" w:cs="Times New Roman"/>
          <w:bCs/>
          <w:sz w:val="24"/>
          <w:szCs w:val="24"/>
        </w:rPr>
        <w:t xml:space="preserve"> te broja zaposlenih po pojedinom poslovnom subjektu </w:t>
      </w:r>
      <w:r w:rsidR="002258E3" w:rsidRPr="00C0186C">
        <w:rPr>
          <w:rFonts w:ascii="Times New Roman" w:eastAsia="Calibri" w:hAnsi="Times New Roman" w:cs="Times New Roman"/>
          <w:bCs/>
          <w:sz w:val="24"/>
          <w:szCs w:val="24"/>
        </w:rPr>
        <w:t xml:space="preserve">inicirat će pozitivne </w:t>
      </w:r>
      <w:r w:rsidR="00AA7D8A">
        <w:rPr>
          <w:rFonts w:ascii="Times New Roman" w:eastAsia="Calibri" w:hAnsi="Times New Roman" w:cs="Times New Roman"/>
          <w:bCs/>
          <w:sz w:val="24"/>
          <w:szCs w:val="24"/>
        </w:rPr>
        <w:t>višestruke</w:t>
      </w:r>
      <w:r w:rsidR="002258E3" w:rsidRPr="00C0186C">
        <w:rPr>
          <w:rFonts w:ascii="Times New Roman" w:eastAsia="Calibri" w:hAnsi="Times New Roman" w:cs="Times New Roman"/>
          <w:bCs/>
          <w:sz w:val="24"/>
          <w:szCs w:val="24"/>
        </w:rPr>
        <w:t xml:space="preserve"> učinke </w:t>
      </w:r>
      <w:r w:rsidR="00F017D4" w:rsidRPr="00C0186C">
        <w:rPr>
          <w:rFonts w:ascii="Times New Roman" w:eastAsia="Calibri" w:hAnsi="Times New Roman" w:cs="Times New Roman"/>
          <w:bCs/>
          <w:sz w:val="24"/>
          <w:szCs w:val="24"/>
        </w:rPr>
        <w:t>u lokalnim zajednicama u smislu p</w:t>
      </w:r>
      <w:r w:rsidR="0058346D" w:rsidRPr="00C0186C">
        <w:rPr>
          <w:rFonts w:ascii="Times New Roman" w:eastAsia="Calibri" w:hAnsi="Times New Roman" w:cs="Times New Roman"/>
          <w:bCs/>
          <w:sz w:val="24"/>
          <w:szCs w:val="24"/>
        </w:rPr>
        <w:t>ovećane produktivnosti, smanjenja fik</w:t>
      </w:r>
      <w:r w:rsidR="00F017D4" w:rsidRPr="00C0186C">
        <w:rPr>
          <w:rFonts w:ascii="Times New Roman" w:eastAsia="Calibri" w:hAnsi="Times New Roman" w:cs="Times New Roman"/>
          <w:bCs/>
          <w:sz w:val="24"/>
          <w:szCs w:val="24"/>
        </w:rPr>
        <w:t xml:space="preserve">snih troškova poslovanja, ali i djelovanja ekonomije razmjera. Takvi procesi rezultirat će </w:t>
      </w:r>
      <w:r w:rsidR="0058346D" w:rsidRPr="00C0186C">
        <w:rPr>
          <w:rFonts w:ascii="Times New Roman" w:eastAsia="Calibri" w:hAnsi="Times New Roman" w:cs="Times New Roman"/>
          <w:bCs/>
          <w:sz w:val="24"/>
          <w:szCs w:val="24"/>
        </w:rPr>
        <w:t>povećanje</w:t>
      </w:r>
      <w:r w:rsidR="00F017D4" w:rsidRPr="00C0186C">
        <w:rPr>
          <w:rFonts w:ascii="Times New Roman" w:eastAsia="Calibri" w:hAnsi="Times New Roman" w:cs="Times New Roman"/>
          <w:bCs/>
          <w:sz w:val="24"/>
          <w:szCs w:val="24"/>
        </w:rPr>
        <w:t>m</w:t>
      </w:r>
      <w:r w:rsidR="0058346D" w:rsidRPr="00C0186C">
        <w:rPr>
          <w:rFonts w:ascii="Times New Roman" w:eastAsia="Calibri" w:hAnsi="Times New Roman" w:cs="Times New Roman"/>
          <w:bCs/>
          <w:sz w:val="24"/>
          <w:szCs w:val="24"/>
        </w:rPr>
        <w:t xml:space="preserve"> ekonomsko-socijalnih kapaciteta lokalne zajednice budući da se izravno odražavaju na povećanje </w:t>
      </w:r>
      <w:r w:rsidR="00F017D4" w:rsidRPr="00C0186C">
        <w:rPr>
          <w:rFonts w:ascii="Times New Roman" w:eastAsia="Calibri" w:hAnsi="Times New Roman" w:cs="Times New Roman"/>
          <w:bCs/>
          <w:sz w:val="24"/>
          <w:szCs w:val="24"/>
        </w:rPr>
        <w:t>raspoloživog</w:t>
      </w:r>
      <w:r w:rsidR="0058346D" w:rsidRPr="00C0186C">
        <w:rPr>
          <w:rFonts w:ascii="Times New Roman" w:eastAsia="Calibri" w:hAnsi="Times New Roman" w:cs="Times New Roman"/>
          <w:bCs/>
          <w:sz w:val="24"/>
          <w:szCs w:val="24"/>
        </w:rPr>
        <w:t xml:space="preserve"> dohotka</w:t>
      </w:r>
      <w:r w:rsidR="00F017D4" w:rsidRPr="00C0186C">
        <w:rPr>
          <w:rFonts w:ascii="Times New Roman" w:eastAsia="Calibri" w:hAnsi="Times New Roman" w:cs="Times New Roman"/>
          <w:bCs/>
          <w:sz w:val="24"/>
          <w:szCs w:val="24"/>
        </w:rPr>
        <w:t xml:space="preserve"> lokalnog stanovništva, a posljedično tome i </w:t>
      </w:r>
      <w:r w:rsidR="0058346D" w:rsidRPr="00C0186C">
        <w:rPr>
          <w:rFonts w:ascii="Times New Roman" w:eastAsia="Calibri" w:hAnsi="Times New Roman" w:cs="Times New Roman"/>
          <w:bCs/>
          <w:sz w:val="24"/>
          <w:szCs w:val="24"/>
        </w:rPr>
        <w:t xml:space="preserve">povećanje </w:t>
      </w:r>
      <w:r w:rsidR="00F017D4" w:rsidRPr="00C0186C">
        <w:rPr>
          <w:rFonts w:ascii="Times New Roman" w:eastAsia="Calibri" w:hAnsi="Times New Roman" w:cs="Times New Roman"/>
          <w:bCs/>
          <w:sz w:val="24"/>
          <w:szCs w:val="24"/>
        </w:rPr>
        <w:t>njihove potrošnje u lokalnom gospodarstvu</w:t>
      </w:r>
      <w:r w:rsidR="0058346D" w:rsidRPr="00C0186C">
        <w:rPr>
          <w:rFonts w:ascii="Times New Roman" w:eastAsia="Calibri" w:hAnsi="Times New Roman" w:cs="Times New Roman"/>
          <w:bCs/>
          <w:sz w:val="24"/>
          <w:szCs w:val="24"/>
        </w:rPr>
        <w:t>. Isto tako, kad je riječ o potpomognutim područjima, važno je unaprijediti st</w:t>
      </w:r>
      <w:r w:rsidR="00237273" w:rsidRPr="00C0186C">
        <w:rPr>
          <w:rFonts w:ascii="Times New Roman" w:eastAsia="Calibri" w:hAnsi="Times New Roman" w:cs="Times New Roman"/>
          <w:bCs/>
          <w:sz w:val="24"/>
          <w:szCs w:val="24"/>
        </w:rPr>
        <w:t xml:space="preserve">andard javne infrastrukture koji u ovim </w:t>
      </w:r>
      <w:r w:rsidR="0058346D" w:rsidRPr="00C0186C">
        <w:rPr>
          <w:rFonts w:ascii="Times New Roman" w:eastAsia="Calibri" w:hAnsi="Times New Roman" w:cs="Times New Roman"/>
          <w:bCs/>
          <w:sz w:val="24"/>
          <w:szCs w:val="24"/>
        </w:rPr>
        <w:t xml:space="preserve">područjima predstavlja </w:t>
      </w:r>
      <w:r w:rsidR="00722573" w:rsidRPr="00C0186C">
        <w:rPr>
          <w:rFonts w:ascii="Times New Roman" w:eastAsia="Calibri" w:hAnsi="Times New Roman" w:cs="Times New Roman"/>
          <w:bCs/>
          <w:sz w:val="24"/>
          <w:szCs w:val="24"/>
        </w:rPr>
        <w:t>značajno</w:t>
      </w:r>
      <w:r w:rsidR="0058346D" w:rsidRPr="00C0186C">
        <w:rPr>
          <w:rFonts w:ascii="Times New Roman" w:eastAsia="Calibri" w:hAnsi="Times New Roman" w:cs="Times New Roman"/>
          <w:bCs/>
          <w:sz w:val="24"/>
          <w:szCs w:val="24"/>
        </w:rPr>
        <w:t xml:space="preserve"> razvojno ogranič</w:t>
      </w:r>
      <w:r w:rsidR="00237273" w:rsidRPr="00C0186C">
        <w:rPr>
          <w:rFonts w:ascii="Times New Roman" w:eastAsia="Calibri" w:hAnsi="Times New Roman" w:cs="Times New Roman"/>
          <w:bCs/>
          <w:sz w:val="24"/>
          <w:szCs w:val="24"/>
        </w:rPr>
        <w:t xml:space="preserve">enje te prepreku za intenzivniji razvoj </w:t>
      </w:r>
      <w:r w:rsidR="0058346D" w:rsidRPr="00C0186C">
        <w:rPr>
          <w:rFonts w:ascii="Times New Roman" w:eastAsia="Calibri" w:hAnsi="Times New Roman" w:cs="Times New Roman"/>
          <w:bCs/>
          <w:sz w:val="24"/>
          <w:szCs w:val="24"/>
        </w:rPr>
        <w:t xml:space="preserve">privatnog sektora. Posebno treba imati u vidu razlike u standardu javne infrastrukture između pojedinih razvojnih grupa, ali i pojedinih lokalnih samouprava zbog čega je važno precizno utvrditi potrebe za pojedinim segmentima javne infrastrukture. </w:t>
      </w:r>
      <w:r w:rsidR="00C96BA4" w:rsidRPr="00C0186C">
        <w:rPr>
          <w:rFonts w:ascii="Times New Roman" w:eastAsia="Calibri" w:hAnsi="Times New Roman" w:cs="Times New Roman"/>
          <w:bCs/>
          <w:sz w:val="24"/>
          <w:szCs w:val="24"/>
        </w:rPr>
        <w:t>V</w:t>
      </w:r>
      <w:r w:rsidR="0058346D" w:rsidRPr="00C0186C">
        <w:rPr>
          <w:rFonts w:ascii="Times New Roman" w:eastAsia="Calibri" w:hAnsi="Times New Roman" w:cs="Times New Roman"/>
          <w:bCs/>
          <w:sz w:val="24"/>
          <w:szCs w:val="24"/>
        </w:rPr>
        <w:t xml:space="preserve">ažno je istaknuti da projekti i aktivnosti </w:t>
      </w:r>
      <w:r w:rsidR="00237273" w:rsidRPr="00C0186C">
        <w:rPr>
          <w:rFonts w:ascii="Times New Roman" w:eastAsia="Calibri" w:hAnsi="Times New Roman" w:cs="Times New Roman"/>
          <w:bCs/>
          <w:sz w:val="24"/>
          <w:szCs w:val="24"/>
        </w:rPr>
        <w:t>koji se planiraju provoditi u okviru ove mjere</w:t>
      </w:r>
      <w:r w:rsidR="0058346D" w:rsidRPr="00C0186C">
        <w:rPr>
          <w:rFonts w:ascii="Times New Roman" w:eastAsia="Calibri" w:hAnsi="Times New Roman" w:cs="Times New Roman"/>
          <w:bCs/>
          <w:sz w:val="24"/>
          <w:szCs w:val="24"/>
        </w:rPr>
        <w:t xml:space="preserve"> trebaju </w:t>
      </w:r>
      <w:r w:rsidR="00237273" w:rsidRPr="00C0186C">
        <w:rPr>
          <w:rFonts w:ascii="Times New Roman" w:eastAsia="Calibri" w:hAnsi="Times New Roman" w:cs="Times New Roman"/>
          <w:bCs/>
          <w:sz w:val="24"/>
          <w:szCs w:val="24"/>
        </w:rPr>
        <w:t xml:space="preserve">prvenstveno uvažavati identificirana </w:t>
      </w:r>
      <w:r w:rsidR="0058346D" w:rsidRPr="00C0186C">
        <w:rPr>
          <w:rFonts w:ascii="Times New Roman" w:eastAsia="Calibri" w:hAnsi="Times New Roman" w:cs="Times New Roman"/>
          <w:bCs/>
          <w:sz w:val="24"/>
          <w:szCs w:val="24"/>
        </w:rPr>
        <w:t xml:space="preserve">razvojna ograničenja, ali i </w:t>
      </w:r>
      <w:r w:rsidR="00237273" w:rsidRPr="00C0186C">
        <w:rPr>
          <w:rFonts w:ascii="Times New Roman" w:eastAsia="Calibri" w:hAnsi="Times New Roman" w:cs="Times New Roman"/>
          <w:bCs/>
          <w:sz w:val="24"/>
          <w:szCs w:val="24"/>
        </w:rPr>
        <w:t>neiskorištene lokalne potencijale,</w:t>
      </w:r>
      <w:r w:rsidR="0058346D" w:rsidRPr="00C0186C">
        <w:rPr>
          <w:rFonts w:ascii="Times New Roman" w:eastAsia="Calibri" w:hAnsi="Times New Roman" w:cs="Times New Roman"/>
          <w:bCs/>
          <w:sz w:val="24"/>
          <w:szCs w:val="24"/>
        </w:rPr>
        <w:t xml:space="preserve"> </w:t>
      </w:r>
      <w:r w:rsidR="002048C7" w:rsidRPr="00C0186C">
        <w:rPr>
          <w:rFonts w:ascii="Times New Roman" w:eastAsia="Calibri" w:hAnsi="Times New Roman" w:cs="Times New Roman"/>
          <w:bCs/>
          <w:sz w:val="24"/>
          <w:szCs w:val="24"/>
        </w:rPr>
        <w:t xml:space="preserve">što u praktičnom smislu znači da se ona mora realizirati kroz kombinirano korištenje gospodarskih i fiskalnih grupa mjera. </w:t>
      </w:r>
      <w:r w:rsidR="00C6373F" w:rsidRPr="00C0186C">
        <w:rPr>
          <w:rFonts w:ascii="Times New Roman" w:eastAsia="Calibri" w:hAnsi="Times New Roman" w:cs="Times New Roman"/>
          <w:bCs/>
          <w:sz w:val="24"/>
          <w:szCs w:val="24"/>
        </w:rPr>
        <w:t>Također, poseban fokus ove mjere je poticanje rasta i razvoja lokalnih gospodarstava</w:t>
      </w:r>
      <w:r w:rsidR="00B94BC8" w:rsidRPr="00C0186C">
        <w:rPr>
          <w:rFonts w:ascii="Times New Roman" w:eastAsia="Calibri" w:hAnsi="Times New Roman" w:cs="Times New Roman"/>
          <w:bCs/>
          <w:sz w:val="24"/>
          <w:szCs w:val="24"/>
        </w:rPr>
        <w:t xml:space="preserve"> u</w:t>
      </w:r>
      <w:r w:rsidR="00C6373F" w:rsidRPr="00C0186C">
        <w:rPr>
          <w:rFonts w:ascii="Times New Roman" w:eastAsia="Calibri" w:hAnsi="Times New Roman" w:cs="Times New Roman"/>
          <w:bCs/>
          <w:sz w:val="24"/>
          <w:szCs w:val="24"/>
        </w:rPr>
        <w:t xml:space="preserve"> onim JLS-ima </w:t>
      </w:r>
      <w:r w:rsidR="0031315A" w:rsidRPr="00C0186C">
        <w:rPr>
          <w:rFonts w:ascii="Times New Roman" w:eastAsia="Calibri" w:hAnsi="Times New Roman" w:cs="Times New Roman"/>
          <w:bCs/>
          <w:sz w:val="24"/>
          <w:szCs w:val="24"/>
        </w:rPr>
        <w:t>sa statusom PP</w:t>
      </w:r>
      <w:r w:rsidR="002A1C4E" w:rsidRPr="00C0186C">
        <w:rPr>
          <w:rFonts w:ascii="Times New Roman" w:eastAsia="Calibri" w:hAnsi="Times New Roman" w:cs="Times New Roman"/>
          <w:bCs/>
          <w:sz w:val="24"/>
          <w:szCs w:val="24"/>
        </w:rPr>
        <w:t>-a</w:t>
      </w:r>
      <w:r w:rsidR="0031315A" w:rsidRPr="00C0186C">
        <w:rPr>
          <w:rFonts w:ascii="Times New Roman" w:eastAsia="Calibri" w:hAnsi="Times New Roman" w:cs="Times New Roman"/>
          <w:bCs/>
          <w:sz w:val="24"/>
          <w:szCs w:val="24"/>
        </w:rPr>
        <w:t xml:space="preserve"> </w:t>
      </w:r>
      <w:r w:rsidR="00C6373F" w:rsidRPr="00C0186C">
        <w:rPr>
          <w:rFonts w:ascii="Times New Roman" w:eastAsia="Calibri" w:hAnsi="Times New Roman" w:cs="Times New Roman"/>
          <w:bCs/>
          <w:sz w:val="24"/>
          <w:szCs w:val="24"/>
        </w:rPr>
        <w:t>koje</w:t>
      </w:r>
      <w:r w:rsidR="0031315A" w:rsidRPr="00C0186C">
        <w:rPr>
          <w:rFonts w:ascii="Times New Roman" w:eastAsia="Calibri" w:hAnsi="Times New Roman" w:cs="Times New Roman"/>
          <w:bCs/>
          <w:sz w:val="24"/>
          <w:szCs w:val="24"/>
        </w:rPr>
        <w:t xml:space="preserve"> su posebno</w:t>
      </w:r>
      <w:r w:rsidR="00B94BC8" w:rsidRPr="00C0186C">
        <w:rPr>
          <w:rFonts w:ascii="Times New Roman" w:eastAsia="Calibri" w:hAnsi="Times New Roman" w:cs="Times New Roman"/>
          <w:bCs/>
          <w:sz w:val="24"/>
          <w:szCs w:val="24"/>
        </w:rPr>
        <w:t xml:space="preserve"> pogođene</w:t>
      </w:r>
      <w:r w:rsidR="0031315A" w:rsidRPr="00C0186C">
        <w:rPr>
          <w:rFonts w:ascii="Times New Roman" w:eastAsia="Calibri" w:hAnsi="Times New Roman" w:cs="Times New Roman"/>
          <w:bCs/>
          <w:sz w:val="24"/>
          <w:szCs w:val="24"/>
        </w:rPr>
        <w:t xml:space="preserve"> </w:t>
      </w:r>
      <w:r w:rsidR="00B94BC8" w:rsidRPr="00C0186C">
        <w:rPr>
          <w:rFonts w:ascii="Times New Roman" w:eastAsia="Calibri" w:hAnsi="Times New Roman" w:cs="Times New Roman"/>
          <w:bCs/>
          <w:sz w:val="24"/>
          <w:szCs w:val="24"/>
        </w:rPr>
        <w:t>materijalnom i ekonomskom deprivacijom</w:t>
      </w:r>
      <w:r w:rsidR="0031315A" w:rsidRPr="00C0186C">
        <w:rPr>
          <w:rFonts w:ascii="Times New Roman" w:eastAsia="Calibri" w:hAnsi="Times New Roman" w:cs="Times New Roman"/>
          <w:bCs/>
          <w:sz w:val="24"/>
          <w:szCs w:val="24"/>
        </w:rPr>
        <w:t>,</w:t>
      </w:r>
      <w:r w:rsidR="00B94BC8" w:rsidRPr="00C0186C">
        <w:rPr>
          <w:rFonts w:ascii="Times New Roman" w:eastAsia="Calibri" w:hAnsi="Times New Roman" w:cs="Times New Roman"/>
          <w:bCs/>
          <w:sz w:val="24"/>
          <w:szCs w:val="24"/>
        </w:rPr>
        <w:t xml:space="preserve"> kao kritičnim ograničenjima</w:t>
      </w:r>
      <w:r w:rsidR="00C96BA4" w:rsidRPr="00C0186C">
        <w:rPr>
          <w:rFonts w:ascii="Times New Roman" w:eastAsia="Calibri" w:hAnsi="Times New Roman" w:cs="Times New Roman"/>
          <w:bCs/>
          <w:sz w:val="24"/>
          <w:szCs w:val="24"/>
        </w:rPr>
        <w:t xml:space="preserve"> njihovom sveukupnom razvoju.</w:t>
      </w:r>
    </w:p>
    <w:p w14:paraId="52124C1C" w14:textId="77777777" w:rsidR="007634EA" w:rsidRDefault="007634EA" w:rsidP="007634EA">
      <w:pPr>
        <w:spacing w:before="0" w:after="0"/>
        <w:jc w:val="both"/>
        <w:rPr>
          <w:rFonts w:ascii="Times New Roman" w:eastAsia="Calibri" w:hAnsi="Times New Roman" w:cs="Times New Roman"/>
          <w:bCs/>
          <w:sz w:val="24"/>
          <w:szCs w:val="24"/>
        </w:rPr>
      </w:pPr>
    </w:p>
    <w:p w14:paraId="5872EB4C" w14:textId="0A67FAEF" w:rsidR="007634EA" w:rsidRDefault="006C67A1" w:rsidP="007634EA">
      <w:pPr>
        <w:spacing w:before="0" w:after="0"/>
        <w:jc w:val="both"/>
        <w:rPr>
          <w:rFonts w:ascii="Times New Roman" w:eastAsia="Calibri" w:hAnsi="Times New Roman" w:cs="Times New Roman"/>
          <w:bCs/>
          <w:sz w:val="24"/>
          <w:szCs w:val="24"/>
        </w:rPr>
      </w:pPr>
      <w:r w:rsidRPr="00C0186C">
        <w:rPr>
          <w:rFonts w:ascii="Times New Roman" w:eastAsia="Calibri" w:hAnsi="Times New Roman" w:cs="Times New Roman"/>
          <w:b/>
          <w:bCs/>
          <w:sz w:val="24"/>
          <w:szCs w:val="24"/>
        </w:rPr>
        <w:t xml:space="preserve">Mjera </w:t>
      </w:r>
      <w:r w:rsidR="0083583A" w:rsidRPr="00C0186C">
        <w:rPr>
          <w:rFonts w:ascii="Times New Roman" w:eastAsia="Calibri" w:hAnsi="Times New Roman" w:cs="Times New Roman"/>
          <w:b/>
          <w:bCs/>
          <w:sz w:val="24"/>
          <w:szCs w:val="24"/>
        </w:rPr>
        <w:t>1.2.</w:t>
      </w:r>
      <w:r w:rsidR="0058346D" w:rsidRPr="00C0186C">
        <w:rPr>
          <w:rFonts w:ascii="Times New Roman" w:eastAsia="Calibri" w:hAnsi="Times New Roman" w:cs="Times New Roman"/>
          <w:b/>
          <w:bCs/>
          <w:sz w:val="24"/>
          <w:szCs w:val="24"/>
        </w:rPr>
        <w:t xml:space="preserve"> Jačanje ljudskih potencijala na lokalnoj razini</w:t>
      </w:r>
      <w:r w:rsidR="006F4687" w:rsidRPr="00C0186C">
        <w:rPr>
          <w:rFonts w:ascii="Times New Roman" w:eastAsia="Calibri" w:hAnsi="Times New Roman" w:cs="Times New Roman"/>
          <w:bCs/>
          <w:sz w:val="24"/>
          <w:szCs w:val="24"/>
        </w:rPr>
        <w:t xml:space="preserve"> komplementarna je s provedbenim projektima i aktivnostima mjere 2.1. koji se odnose na </w:t>
      </w:r>
      <w:r w:rsidR="006F4687" w:rsidRPr="00C0186C">
        <w:rPr>
          <w:rFonts w:ascii="Times New Roman" w:hAnsi="Times New Roman" w:cs="Times New Roman"/>
          <w:sz w:val="24"/>
          <w:szCs w:val="24"/>
        </w:rPr>
        <w:t>stvaranje boljih obrazovnih prilika i mogućnosti za stanovništvo potpomognutih područja, pri čemu su u posebnom fokusu ove mjere aktivni radni, poduzetnički i institucionalni kapaciteti na PP</w:t>
      </w:r>
      <w:r w:rsidR="002A1C4E" w:rsidRPr="00C0186C">
        <w:rPr>
          <w:rFonts w:ascii="Times New Roman" w:hAnsi="Times New Roman" w:cs="Times New Roman"/>
          <w:sz w:val="24"/>
          <w:szCs w:val="24"/>
        </w:rPr>
        <w:t>-u</w:t>
      </w:r>
      <w:r w:rsidR="006F4687" w:rsidRPr="00C0186C">
        <w:rPr>
          <w:rFonts w:ascii="Times New Roman" w:hAnsi="Times New Roman" w:cs="Times New Roman"/>
          <w:sz w:val="24"/>
          <w:szCs w:val="24"/>
        </w:rPr>
        <w:t xml:space="preserve">. Drugim riječima, kroz jačanje ljudskih potencijala u javnom i privatnom sektoru, temeljem ove mjere želi se povećati </w:t>
      </w:r>
      <w:r w:rsidR="001F5B14" w:rsidRPr="00C0186C">
        <w:rPr>
          <w:rFonts w:ascii="Times New Roman" w:hAnsi="Times New Roman" w:cs="Times New Roman"/>
          <w:sz w:val="24"/>
          <w:szCs w:val="24"/>
        </w:rPr>
        <w:t xml:space="preserve">njihova </w:t>
      </w:r>
      <w:r w:rsidR="006F4687" w:rsidRPr="00C0186C">
        <w:rPr>
          <w:rFonts w:ascii="Times New Roman" w:hAnsi="Times New Roman" w:cs="Times New Roman"/>
          <w:sz w:val="24"/>
          <w:szCs w:val="24"/>
        </w:rPr>
        <w:t xml:space="preserve">sveukupna produktivnost i </w:t>
      </w:r>
      <w:r w:rsidR="001F5B14" w:rsidRPr="00C0186C">
        <w:rPr>
          <w:rFonts w:ascii="Times New Roman" w:hAnsi="Times New Roman" w:cs="Times New Roman"/>
          <w:sz w:val="24"/>
          <w:szCs w:val="24"/>
        </w:rPr>
        <w:t xml:space="preserve">efikasnost. Nužnost provedbe ove mjere proizlazi iz </w:t>
      </w:r>
      <w:r w:rsidR="0058346D" w:rsidRPr="00C0186C">
        <w:rPr>
          <w:rFonts w:ascii="Times New Roman" w:eastAsia="Calibri" w:hAnsi="Times New Roman" w:cs="Times New Roman"/>
          <w:bCs/>
          <w:sz w:val="24"/>
          <w:szCs w:val="24"/>
        </w:rPr>
        <w:t>činjenice da je razina obrazovanja, mjerena udjelom visok</w:t>
      </w:r>
      <w:r w:rsidR="00EC2627" w:rsidRPr="00C0186C">
        <w:rPr>
          <w:rFonts w:ascii="Times New Roman" w:eastAsia="Calibri" w:hAnsi="Times New Roman" w:cs="Times New Roman"/>
          <w:bCs/>
          <w:sz w:val="24"/>
          <w:szCs w:val="24"/>
        </w:rPr>
        <w:t>og obrazovanja</w:t>
      </w:r>
      <w:r w:rsidR="0058346D" w:rsidRPr="00C0186C">
        <w:rPr>
          <w:rFonts w:ascii="Times New Roman" w:eastAsia="Calibri" w:hAnsi="Times New Roman" w:cs="Times New Roman"/>
          <w:bCs/>
          <w:sz w:val="24"/>
          <w:szCs w:val="24"/>
        </w:rPr>
        <w:t xml:space="preserve"> u radno </w:t>
      </w:r>
      <w:r w:rsidR="001F5B14" w:rsidRPr="00C0186C">
        <w:rPr>
          <w:rFonts w:ascii="Times New Roman" w:eastAsia="Calibri" w:hAnsi="Times New Roman" w:cs="Times New Roman"/>
          <w:bCs/>
          <w:sz w:val="24"/>
          <w:szCs w:val="24"/>
        </w:rPr>
        <w:t>sposobnom kontingentu</w:t>
      </w:r>
      <w:r w:rsidR="0058346D" w:rsidRPr="00C0186C">
        <w:rPr>
          <w:rFonts w:ascii="Times New Roman" w:eastAsia="Calibri" w:hAnsi="Times New Roman" w:cs="Times New Roman"/>
          <w:bCs/>
          <w:sz w:val="24"/>
          <w:szCs w:val="24"/>
        </w:rPr>
        <w:t xml:space="preserve"> na području potpomognutih područja dramatično niža u odnosu na prosječne vrijednosti </w:t>
      </w:r>
      <w:r w:rsidR="001F5B14" w:rsidRPr="00C0186C">
        <w:rPr>
          <w:rFonts w:ascii="Times New Roman" w:eastAsia="Calibri" w:hAnsi="Times New Roman" w:cs="Times New Roman"/>
          <w:bCs/>
          <w:sz w:val="24"/>
          <w:szCs w:val="24"/>
        </w:rPr>
        <w:t>za Republiku Hrvatsku</w:t>
      </w:r>
      <w:r w:rsidR="0058346D" w:rsidRPr="00C0186C">
        <w:rPr>
          <w:rFonts w:ascii="Times New Roman" w:eastAsia="Calibri" w:hAnsi="Times New Roman" w:cs="Times New Roman"/>
          <w:bCs/>
          <w:sz w:val="24"/>
          <w:szCs w:val="24"/>
        </w:rPr>
        <w:t xml:space="preserve">. </w:t>
      </w:r>
      <w:r w:rsidR="001F5B14" w:rsidRPr="00C0186C">
        <w:rPr>
          <w:rFonts w:ascii="Times New Roman" w:eastAsia="Calibri" w:hAnsi="Times New Roman" w:cs="Times New Roman"/>
          <w:bCs/>
          <w:sz w:val="24"/>
          <w:szCs w:val="24"/>
        </w:rPr>
        <w:t>V</w:t>
      </w:r>
      <w:r w:rsidR="0058346D" w:rsidRPr="00C0186C">
        <w:rPr>
          <w:rFonts w:ascii="Times New Roman" w:eastAsia="Calibri" w:hAnsi="Times New Roman" w:cs="Times New Roman"/>
          <w:bCs/>
          <w:sz w:val="24"/>
          <w:szCs w:val="24"/>
        </w:rPr>
        <w:t xml:space="preserve">ažno je naglasiti </w:t>
      </w:r>
      <w:r w:rsidR="001F5B14" w:rsidRPr="00C0186C">
        <w:rPr>
          <w:rFonts w:ascii="Times New Roman" w:eastAsia="Calibri" w:hAnsi="Times New Roman" w:cs="Times New Roman"/>
          <w:bCs/>
          <w:sz w:val="24"/>
          <w:szCs w:val="24"/>
        </w:rPr>
        <w:t xml:space="preserve">da je u tom kontekstu </w:t>
      </w:r>
      <w:r w:rsidR="0058346D" w:rsidRPr="00C0186C">
        <w:rPr>
          <w:rFonts w:ascii="Times New Roman" w:eastAsia="Calibri" w:hAnsi="Times New Roman" w:cs="Times New Roman"/>
          <w:bCs/>
          <w:sz w:val="24"/>
          <w:szCs w:val="24"/>
        </w:rPr>
        <w:t>posebno kritična kategorija cjeloživotnog obrazovanja</w:t>
      </w:r>
      <w:r w:rsidR="001F5B14" w:rsidRPr="00C0186C">
        <w:rPr>
          <w:rFonts w:ascii="Times New Roman" w:eastAsia="Calibri" w:hAnsi="Times New Roman" w:cs="Times New Roman"/>
          <w:bCs/>
          <w:sz w:val="24"/>
          <w:szCs w:val="24"/>
        </w:rPr>
        <w:t>,</w:t>
      </w:r>
      <w:r w:rsidR="0058346D" w:rsidRPr="00C0186C">
        <w:rPr>
          <w:rFonts w:ascii="Times New Roman" w:eastAsia="Calibri" w:hAnsi="Times New Roman" w:cs="Times New Roman"/>
          <w:bCs/>
          <w:sz w:val="24"/>
          <w:szCs w:val="24"/>
        </w:rPr>
        <w:t xml:space="preserve"> gdje je</w:t>
      </w:r>
      <w:r w:rsidR="001F5B14" w:rsidRPr="00C0186C">
        <w:rPr>
          <w:rFonts w:ascii="Times New Roman" w:eastAsia="Calibri" w:hAnsi="Times New Roman" w:cs="Times New Roman"/>
          <w:bCs/>
          <w:sz w:val="24"/>
          <w:szCs w:val="24"/>
        </w:rPr>
        <w:t>, primjerice,</w:t>
      </w:r>
      <w:r w:rsidR="0058346D" w:rsidRPr="00C0186C">
        <w:rPr>
          <w:rFonts w:ascii="Times New Roman" w:eastAsia="Calibri" w:hAnsi="Times New Roman" w:cs="Times New Roman"/>
          <w:bCs/>
          <w:sz w:val="24"/>
          <w:szCs w:val="24"/>
        </w:rPr>
        <w:t xml:space="preserve"> stopa sudjelovanja u obrazovanju i treningu u trajanju od najmanje četiri tjedna</w:t>
      </w:r>
      <w:r w:rsidR="001F5B14" w:rsidRPr="00C0186C">
        <w:rPr>
          <w:rFonts w:ascii="Times New Roman" w:eastAsia="Calibri" w:hAnsi="Times New Roman" w:cs="Times New Roman"/>
          <w:bCs/>
          <w:sz w:val="24"/>
          <w:szCs w:val="24"/>
        </w:rPr>
        <w:t>,</w:t>
      </w:r>
      <w:r w:rsidR="0058346D" w:rsidRPr="00C0186C">
        <w:rPr>
          <w:rFonts w:ascii="Times New Roman" w:eastAsia="Calibri" w:hAnsi="Times New Roman" w:cs="Times New Roman"/>
          <w:bCs/>
          <w:sz w:val="24"/>
          <w:szCs w:val="24"/>
        </w:rPr>
        <w:t xml:space="preserve"> za Republiku Hrvatsku</w:t>
      </w:r>
      <w:r w:rsidR="001F5B14" w:rsidRPr="00C0186C">
        <w:rPr>
          <w:rFonts w:ascii="Times New Roman" w:eastAsia="Calibri" w:hAnsi="Times New Roman" w:cs="Times New Roman"/>
          <w:bCs/>
          <w:sz w:val="24"/>
          <w:szCs w:val="24"/>
        </w:rPr>
        <w:t>,</w:t>
      </w:r>
      <w:r w:rsidR="0058346D" w:rsidRPr="00C0186C">
        <w:rPr>
          <w:rFonts w:ascii="Times New Roman" w:eastAsia="Calibri" w:hAnsi="Times New Roman" w:cs="Times New Roman"/>
          <w:bCs/>
          <w:sz w:val="24"/>
          <w:szCs w:val="24"/>
        </w:rPr>
        <w:t xml:space="preserve"> nekoliko puta niža u odnosu na prosjek Europske unije. Nažalost, upravo takva niska razina formalne i neformalne obrazovanosti </w:t>
      </w:r>
      <w:r w:rsidR="001F5B14" w:rsidRPr="00C0186C">
        <w:rPr>
          <w:rFonts w:ascii="Times New Roman" w:eastAsia="Calibri" w:hAnsi="Times New Roman" w:cs="Times New Roman"/>
          <w:bCs/>
          <w:sz w:val="24"/>
          <w:szCs w:val="24"/>
        </w:rPr>
        <w:t>stanovništva</w:t>
      </w:r>
      <w:r w:rsidR="0058346D" w:rsidRPr="00C0186C">
        <w:rPr>
          <w:rFonts w:ascii="Times New Roman" w:eastAsia="Calibri" w:hAnsi="Times New Roman" w:cs="Times New Roman"/>
          <w:bCs/>
          <w:sz w:val="24"/>
          <w:szCs w:val="24"/>
        </w:rPr>
        <w:t xml:space="preserve"> na potpomognutim područjima </w:t>
      </w:r>
      <w:r w:rsidR="001F5B14" w:rsidRPr="00C0186C">
        <w:rPr>
          <w:rFonts w:ascii="Times New Roman" w:eastAsia="Calibri" w:hAnsi="Times New Roman" w:cs="Times New Roman"/>
          <w:bCs/>
          <w:sz w:val="24"/>
          <w:szCs w:val="24"/>
        </w:rPr>
        <w:t>predstavlja jedan od glavnih čimbenika strukturnih neusklađenosti na tržištu rada</w:t>
      </w:r>
      <w:r w:rsidR="008307C1" w:rsidRPr="00C0186C">
        <w:rPr>
          <w:rFonts w:ascii="Times New Roman" w:eastAsia="Calibri" w:hAnsi="Times New Roman" w:cs="Times New Roman"/>
          <w:bCs/>
          <w:sz w:val="24"/>
          <w:szCs w:val="24"/>
        </w:rPr>
        <w:t xml:space="preserve"> i niske produktivnosti</w:t>
      </w:r>
      <w:r w:rsidR="001F5B14" w:rsidRPr="00C0186C">
        <w:rPr>
          <w:rFonts w:ascii="Times New Roman" w:eastAsia="Calibri" w:hAnsi="Times New Roman" w:cs="Times New Roman"/>
          <w:bCs/>
          <w:sz w:val="24"/>
          <w:szCs w:val="24"/>
        </w:rPr>
        <w:t xml:space="preserve">, zbog čega je nužno pružiti potporu poslovnim i javnim subjektima da kroz različite prilagođene programe cjeloživotnog učenja razviju svoje aktivne kadrove te na taj način </w:t>
      </w:r>
      <w:r w:rsidR="008307C1" w:rsidRPr="00C0186C">
        <w:rPr>
          <w:rFonts w:ascii="Times New Roman" w:eastAsia="Calibri" w:hAnsi="Times New Roman" w:cs="Times New Roman"/>
          <w:bCs/>
          <w:sz w:val="24"/>
          <w:szCs w:val="24"/>
        </w:rPr>
        <w:t xml:space="preserve">unaprijede njihove performanse. </w:t>
      </w:r>
      <w:r w:rsidR="0058346D" w:rsidRPr="00C0186C">
        <w:rPr>
          <w:rFonts w:ascii="Times New Roman" w:eastAsia="Calibri" w:hAnsi="Times New Roman" w:cs="Times New Roman"/>
          <w:bCs/>
          <w:sz w:val="24"/>
          <w:szCs w:val="24"/>
        </w:rPr>
        <w:t>Također, posebnu pažnju treba posvetiti dizajniranju programa poticanja zapošljava</w:t>
      </w:r>
      <w:r w:rsidR="008307C1" w:rsidRPr="00C0186C">
        <w:rPr>
          <w:rFonts w:ascii="Times New Roman" w:eastAsia="Calibri" w:hAnsi="Times New Roman" w:cs="Times New Roman"/>
          <w:bCs/>
          <w:sz w:val="24"/>
          <w:szCs w:val="24"/>
        </w:rPr>
        <w:t>nja društveno ugroženih skupina.</w:t>
      </w:r>
      <w:r w:rsidR="0058346D" w:rsidRPr="00C0186C">
        <w:rPr>
          <w:rFonts w:ascii="Times New Roman" w:eastAsia="Calibri" w:hAnsi="Times New Roman" w:cs="Times New Roman"/>
          <w:bCs/>
          <w:sz w:val="24"/>
          <w:szCs w:val="24"/>
        </w:rPr>
        <w:t xml:space="preserve"> </w:t>
      </w:r>
      <w:r w:rsidR="008307C1" w:rsidRPr="00C0186C">
        <w:rPr>
          <w:rFonts w:ascii="Times New Roman" w:eastAsia="Calibri" w:hAnsi="Times New Roman" w:cs="Times New Roman"/>
          <w:bCs/>
          <w:sz w:val="24"/>
          <w:szCs w:val="24"/>
        </w:rPr>
        <w:t>Sukladno tome, pretpostavka učinkovite provedbe ove mjere podrazumijeva korištenje specifičnih gospodarskih i demografskih grupa mjera.</w:t>
      </w:r>
    </w:p>
    <w:p w14:paraId="2B7A1087" w14:textId="77777777" w:rsidR="007634EA" w:rsidRDefault="007634EA" w:rsidP="007634EA">
      <w:pPr>
        <w:spacing w:before="0" w:after="0"/>
        <w:jc w:val="both"/>
        <w:rPr>
          <w:rFonts w:ascii="Times New Roman" w:eastAsia="Calibri" w:hAnsi="Times New Roman" w:cs="Times New Roman"/>
          <w:bCs/>
          <w:sz w:val="24"/>
          <w:szCs w:val="24"/>
        </w:rPr>
      </w:pPr>
    </w:p>
    <w:p w14:paraId="22BBCDE1" w14:textId="09B2DDEA" w:rsidR="00BF063C" w:rsidRDefault="0083583A" w:rsidP="007634EA">
      <w:pPr>
        <w:spacing w:before="0" w:after="0"/>
        <w:jc w:val="both"/>
        <w:rPr>
          <w:rFonts w:ascii="Times New Roman" w:eastAsia="Calibri" w:hAnsi="Times New Roman" w:cs="Times New Roman"/>
          <w:bCs/>
          <w:sz w:val="24"/>
          <w:szCs w:val="24"/>
        </w:rPr>
      </w:pPr>
      <w:r w:rsidRPr="00C0186C">
        <w:rPr>
          <w:rFonts w:ascii="Times New Roman" w:eastAsia="Calibri" w:hAnsi="Times New Roman" w:cs="Times New Roman"/>
          <w:b/>
          <w:bCs/>
          <w:sz w:val="24"/>
          <w:szCs w:val="24"/>
        </w:rPr>
        <w:t xml:space="preserve">Mjera 1.3. </w:t>
      </w:r>
      <w:r w:rsidR="0058346D" w:rsidRPr="00C0186C">
        <w:rPr>
          <w:rFonts w:ascii="Times New Roman" w:eastAsia="Calibri" w:hAnsi="Times New Roman" w:cs="Times New Roman"/>
          <w:b/>
          <w:bCs/>
          <w:sz w:val="24"/>
          <w:szCs w:val="24"/>
        </w:rPr>
        <w:t>Jačanje institucionalnih kapaciteta lokalnih zajednica</w:t>
      </w:r>
      <w:r w:rsidR="0058346D" w:rsidRPr="00C0186C">
        <w:rPr>
          <w:rFonts w:ascii="Times New Roman" w:eastAsia="Calibri" w:hAnsi="Times New Roman" w:cs="Times New Roman"/>
          <w:bCs/>
          <w:sz w:val="24"/>
          <w:szCs w:val="24"/>
        </w:rPr>
        <w:t xml:space="preserve"> ne odnosi se samo na unaprjeđenje kapaciteta gradova i općina u okviru zakonom definiranog opsega pružanja loka</w:t>
      </w:r>
      <w:r w:rsidR="008307C1" w:rsidRPr="00C0186C">
        <w:rPr>
          <w:rFonts w:ascii="Times New Roman" w:eastAsia="Calibri" w:hAnsi="Times New Roman" w:cs="Times New Roman"/>
          <w:bCs/>
          <w:sz w:val="24"/>
          <w:szCs w:val="24"/>
        </w:rPr>
        <w:t>lnih javnih dobara i usluga, provođenja</w:t>
      </w:r>
      <w:r w:rsidR="0058346D" w:rsidRPr="00C0186C">
        <w:rPr>
          <w:rFonts w:ascii="Times New Roman" w:eastAsia="Calibri" w:hAnsi="Times New Roman" w:cs="Times New Roman"/>
          <w:bCs/>
          <w:sz w:val="24"/>
          <w:szCs w:val="24"/>
        </w:rPr>
        <w:t xml:space="preserve"> aktivnosti privlačenja investicija izravnim poticajima ili stva</w:t>
      </w:r>
      <w:r w:rsidR="008307C1" w:rsidRPr="00C0186C">
        <w:rPr>
          <w:rFonts w:ascii="Times New Roman" w:eastAsia="Calibri" w:hAnsi="Times New Roman" w:cs="Times New Roman"/>
          <w:bCs/>
          <w:sz w:val="24"/>
          <w:szCs w:val="24"/>
        </w:rPr>
        <w:t xml:space="preserve">ranja </w:t>
      </w:r>
      <w:r w:rsidR="0058346D" w:rsidRPr="00C0186C">
        <w:rPr>
          <w:rFonts w:ascii="Times New Roman" w:eastAsia="Calibri" w:hAnsi="Times New Roman" w:cs="Times New Roman"/>
          <w:bCs/>
          <w:sz w:val="24"/>
          <w:szCs w:val="24"/>
        </w:rPr>
        <w:t>povoljnog poslovnog okruženja u širem</w:t>
      </w:r>
      <w:r w:rsidR="00E25921" w:rsidRPr="00C0186C">
        <w:rPr>
          <w:rFonts w:ascii="Times New Roman" w:eastAsia="Calibri" w:hAnsi="Times New Roman" w:cs="Times New Roman"/>
          <w:bCs/>
          <w:sz w:val="24"/>
          <w:szCs w:val="24"/>
        </w:rPr>
        <w:t xml:space="preserve"> smislu. Naime, ovdje se radi </w:t>
      </w:r>
      <w:r w:rsidR="0058346D" w:rsidRPr="00C0186C">
        <w:rPr>
          <w:rFonts w:ascii="Times New Roman" w:eastAsia="Calibri" w:hAnsi="Times New Roman" w:cs="Times New Roman"/>
          <w:bCs/>
          <w:sz w:val="24"/>
          <w:szCs w:val="24"/>
        </w:rPr>
        <w:t xml:space="preserve">o </w:t>
      </w:r>
      <w:r w:rsidR="00E25921" w:rsidRPr="00C0186C">
        <w:rPr>
          <w:rFonts w:ascii="Times New Roman" w:eastAsia="Calibri" w:hAnsi="Times New Roman" w:cs="Times New Roman"/>
          <w:bCs/>
          <w:sz w:val="24"/>
          <w:szCs w:val="24"/>
        </w:rPr>
        <w:t xml:space="preserve">osposobljavanju lokalnih institucija u povezivanju </w:t>
      </w:r>
      <w:r w:rsidR="0058346D" w:rsidRPr="00C0186C">
        <w:rPr>
          <w:rFonts w:ascii="Times New Roman" w:eastAsia="Calibri" w:hAnsi="Times New Roman" w:cs="Times New Roman"/>
          <w:bCs/>
          <w:sz w:val="24"/>
          <w:szCs w:val="24"/>
        </w:rPr>
        <w:t>svih</w:t>
      </w:r>
      <w:r w:rsidR="00E25921" w:rsidRPr="00C0186C">
        <w:rPr>
          <w:rFonts w:ascii="Times New Roman" w:eastAsia="Calibri" w:hAnsi="Times New Roman" w:cs="Times New Roman"/>
          <w:bCs/>
          <w:sz w:val="24"/>
          <w:szCs w:val="24"/>
        </w:rPr>
        <w:t xml:space="preserve"> dionika lokalnog gospodarstva, uključujući lokalne vlasti, poduzetnike i obrtnike, građane, udruge</w:t>
      </w:r>
      <w:r w:rsidR="0058346D" w:rsidRPr="00C0186C">
        <w:rPr>
          <w:rFonts w:ascii="Times New Roman" w:eastAsia="Calibri" w:hAnsi="Times New Roman" w:cs="Times New Roman"/>
          <w:bCs/>
          <w:sz w:val="24"/>
          <w:szCs w:val="24"/>
        </w:rPr>
        <w:t xml:space="preserve">, </w:t>
      </w:r>
      <w:r w:rsidR="00E25921" w:rsidRPr="00C0186C">
        <w:rPr>
          <w:rFonts w:ascii="Times New Roman" w:eastAsia="Calibri" w:hAnsi="Times New Roman" w:cs="Times New Roman"/>
          <w:bCs/>
          <w:sz w:val="24"/>
          <w:szCs w:val="24"/>
        </w:rPr>
        <w:t xml:space="preserve">predstavnike </w:t>
      </w:r>
      <w:r w:rsidR="0058346D" w:rsidRPr="00C0186C">
        <w:rPr>
          <w:rFonts w:ascii="Times New Roman" w:eastAsia="Calibri" w:hAnsi="Times New Roman" w:cs="Times New Roman"/>
          <w:bCs/>
          <w:sz w:val="24"/>
          <w:szCs w:val="24"/>
        </w:rPr>
        <w:t xml:space="preserve">akademske zajednice te medija </w:t>
      </w:r>
      <w:r w:rsidR="00E25921" w:rsidRPr="00C0186C">
        <w:rPr>
          <w:rFonts w:ascii="Times New Roman" w:eastAsia="Calibri" w:hAnsi="Times New Roman" w:cs="Times New Roman"/>
          <w:bCs/>
          <w:sz w:val="24"/>
          <w:szCs w:val="24"/>
        </w:rPr>
        <w:t>u svrhu održivog korištenja postojećih razvojnih resursa i potencijala</w:t>
      </w:r>
      <w:r w:rsidR="0058346D" w:rsidRPr="00C0186C">
        <w:rPr>
          <w:rFonts w:ascii="Times New Roman" w:eastAsia="Calibri" w:hAnsi="Times New Roman" w:cs="Times New Roman"/>
          <w:bCs/>
          <w:sz w:val="24"/>
          <w:szCs w:val="24"/>
        </w:rPr>
        <w:t>. Izvršene analize utvrdile su ključne probleme vezane za manjak stručnih i tehničkih znanja javnog i privatnog sektora koje dovode</w:t>
      </w:r>
      <w:r w:rsidR="00E25921" w:rsidRPr="00C0186C">
        <w:rPr>
          <w:rFonts w:ascii="Times New Roman" w:eastAsia="Calibri" w:hAnsi="Times New Roman" w:cs="Times New Roman"/>
          <w:bCs/>
          <w:sz w:val="24"/>
          <w:szCs w:val="24"/>
        </w:rPr>
        <w:t xml:space="preserve"> do niske razine inovativnosti, niske razine tehnološke opremljenosti te u konačnici skromnih </w:t>
      </w:r>
      <w:r w:rsidR="0058346D" w:rsidRPr="00C0186C">
        <w:rPr>
          <w:rFonts w:ascii="Times New Roman" w:eastAsia="Calibri" w:hAnsi="Times New Roman" w:cs="Times New Roman"/>
          <w:bCs/>
          <w:sz w:val="24"/>
          <w:szCs w:val="24"/>
        </w:rPr>
        <w:t xml:space="preserve">tržišnih kapaciteta </w:t>
      </w:r>
      <w:r w:rsidR="00E25921" w:rsidRPr="00C0186C">
        <w:rPr>
          <w:rFonts w:ascii="Times New Roman" w:eastAsia="Calibri" w:hAnsi="Times New Roman" w:cs="Times New Roman"/>
          <w:bCs/>
          <w:sz w:val="24"/>
          <w:szCs w:val="24"/>
        </w:rPr>
        <w:t>potpomognutih područja</w:t>
      </w:r>
      <w:r w:rsidR="0058346D" w:rsidRPr="00C0186C">
        <w:rPr>
          <w:rFonts w:ascii="Times New Roman" w:eastAsia="Calibri" w:hAnsi="Times New Roman" w:cs="Times New Roman"/>
          <w:bCs/>
          <w:sz w:val="24"/>
          <w:szCs w:val="24"/>
        </w:rPr>
        <w:t>. Zabrinjavajući je podatak da veliki dio lokalnih samouprava potpomognutih područja ne koristi bespovratna sredstava fondova Europske unije</w:t>
      </w:r>
      <w:r w:rsidR="00E25921" w:rsidRPr="00C0186C">
        <w:rPr>
          <w:rFonts w:ascii="Times New Roman" w:eastAsia="Calibri" w:hAnsi="Times New Roman" w:cs="Times New Roman"/>
          <w:bCs/>
          <w:sz w:val="24"/>
          <w:szCs w:val="24"/>
        </w:rPr>
        <w:t>,</w:t>
      </w:r>
      <w:r w:rsidR="0058346D" w:rsidRPr="00C0186C">
        <w:rPr>
          <w:rFonts w:ascii="Times New Roman" w:eastAsia="Calibri" w:hAnsi="Times New Roman" w:cs="Times New Roman"/>
          <w:bCs/>
          <w:sz w:val="24"/>
          <w:szCs w:val="24"/>
        </w:rPr>
        <w:t xml:space="preserve"> što je posebno </w:t>
      </w:r>
      <w:r w:rsidR="00E25921" w:rsidRPr="00C0186C">
        <w:rPr>
          <w:rFonts w:ascii="Times New Roman" w:eastAsia="Calibri" w:hAnsi="Times New Roman" w:cs="Times New Roman"/>
          <w:bCs/>
          <w:sz w:val="24"/>
          <w:szCs w:val="24"/>
        </w:rPr>
        <w:t>problematično zbog nedostatnih</w:t>
      </w:r>
      <w:r w:rsidR="0058346D" w:rsidRPr="00C0186C">
        <w:rPr>
          <w:rFonts w:ascii="Times New Roman" w:eastAsia="Calibri" w:hAnsi="Times New Roman" w:cs="Times New Roman"/>
          <w:bCs/>
          <w:sz w:val="24"/>
          <w:szCs w:val="24"/>
        </w:rPr>
        <w:t xml:space="preserve"> fiskalnih kapacit</w:t>
      </w:r>
      <w:r w:rsidR="00E25921" w:rsidRPr="00C0186C">
        <w:rPr>
          <w:rFonts w:ascii="Times New Roman" w:eastAsia="Calibri" w:hAnsi="Times New Roman" w:cs="Times New Roman"/>
          <w:bCs/>
          <w:sz w:val="24"/>
          <w:szCs w:val="24"/>
        </w:rPr>
        <w:t xml:space="preserve">eta </w:t>
      </w:r>
      <w:r w:rsidR="007038CF" w:rsidRPr="00C0186C">
        <w:rPr>
          <w:rFonts w:ascii="Times New Roman" w:eastAsia="Calibri" w:hAnsi="Times New Roman" w:cs="Times New Roman"/>
          <w:bCs/>
          <w:sz w:val="24"/>
          <w:szCs w:val="24"/>
        </w:rPr>
        <w:t>JLS</w:t>
      </w:r>
      <w:r w:rsidR="002A1C4E" w:rsidRPr="00C0186C">
        <w:rPr>
          <w:rFonts w:ascii="Times New Roman" w:eastAsia="Calibri" w:hAnsi="Times New Roman" w:cs="Times New Roman"/>
          <w:bCs/>
          <w:sz w:val="24"/>
          <w:szCs w:val="24"/>
        </w:rPr>
        <w:t>-ova</w:t>
      </w:r>
      <w:r w:rsidR="00E25921" w:rsidRPr="00C0186C">
        <w:rPr>
          <w:rFonts w:ascii="Times New Roman" w:eastAsia="Calibri" w:hAnsi="Times New Roman" w:cs="Times New Roman"/>
          <w:bCs/>
          <w:sz w:val="24"/>
          <w:szCs w:val="24"/>
        </w:rPr>
        <w:t xml:space="preserve"> za zadovoljavanje različitih javnih i privatnih potreba. S</w:t>
      </w:r>
      <w:r w:rsidR="0058346D" w:rsidRPr="00C0186C">
        <w:rPr>
          <w:rFonts w:ascii="Times New Roman" w:eastAsia="Calibri" w:hAnsi="Times New Roman" w:cs="Times New Roman"/>
          <w:bCs/>
          <w:sz w:val="24"/>
          <w:szCs w:val="24"/>
        </w:rPr>
        <w:t xml:space="preserve">toga, u okviru ove mjere, </w:t>
      </w:r>
      <w:r w:rsidR="00E25921" w:rsidRPr="00C0186C">
        <w:rPr>
          <w:rFonts w:ascii="Times New Roman" w:eastAsia="Calibri" w:hAnsi="Times New Roman" w:cs="Times New Roman"/>
          <w:bCs/>
          <w:sz w:val="24"/>
          <w:szCs w:val="24"/>
        </w:rPr>
        <w:t xml:space="preserve">provodit će se projekti, </w:t>
      </w:r>
      <w:r w:rsidR="0058346D" w:rsidRPr="00C0186C">
        <w:rPr>
          <w:rFonts w:ascii="Times New Roman" w:eastAsia="Calibri" w:hAnsi="Times New Roman" w:cs="Times New Roman"/>
          <w:bCs/>
          <w:sz w:val="24"/>
          <w:szCs w:val="24"/>
        </w:rPr>
        <w:t>programi i aktivnosti</w:t>
      </w:r>
      <w:r w:rsidR="00E25921" w:rsidRPr="00C0186C">
        <w:rPr>
          <w:rFonts w:ascii="Times New Roman" w:eastAsia="Calibri" w:hAnsi="Times New Roman" w:cs="Times New Roman"/>
          <w:bCs/>
          <w:sz w:val="24"/>
          <w:szCs w:val="24"/>
        </w:rPr>
        <w:t xml:space="preserve"> koji su usmjereni</w:t>
      </w:r>
      <w:r w:rsidR="0058346D" w:rsidRPr="00C0186C">
        <w:rPr>
          <w:rFonts w:ascii="Times New Roman" w:eastAsia="Calibri" w:hAnsi="Times New Roman" w:cs="Times New Roman"/>
          <w:bCs/>
          <w:sz w:val="24"/>
          <w:szCs w:val="24"/>
        </w:rPr>
        <w:t xml:space="preserve"> </w:t>
      </w:r>
      <w:r w:rsidR="00E25921" w:rsidRPr="00C0186C">
        <w:rPr>
          <w:rFonts w:ascii="Times New Roman" w:eastAsia="Calibri" w:hAnsi="Times New Roman" w:cs="Times New Roman"/>
          <w:bCs/>
          <w:sz w:val="24"/>
          <w:szCs w:val="24"/>
        </w:rPr>
        <w:t>na jačanje</w:t>
      </w:r>
      <w:r w:rsidR="0058346D" w:rsidRPr="00C0186C">
        <w:rPr>
          <w:rFonts w:ascii="Times New Roman" w:eastAsia="Calibri" w:hAnsi="Times New Roman" w:cs="Times New Roman"/>
          <w:bCs/>
          <w:sz w:val="24"/>
          <w:szCs w:val="24"/>
        </w:rPr>
        <w:t xml:space="preserve"> stručnih, tehničkih i administrativnih kapaciteta javnog i privatnog sektora, ali i kapaciteta ostalih dionika lokalne zajednice, a sve</w:t>
      </w:r>
      <w:r w:rsidR="00E25921" w:rsidRPr="00C0186C">
        <w:rPr>
          <w:rFonts w:ascii="Times New Roman" w:eastAsia="Calibri" w:hAnsi="Times New Roman" w:cs="Times New Roman"/>
          <w:bCs/>
          <w:sz w:val="24"/>
          <w:szCs w:val="24"/>
        </w:rPr>
        <w:t xml:space="preserve"> u funkciji podizanja sveukupne</w:t>
      </w:r>
      <w:r w:rsidR="0058346D" w:rsidRPr="00C0186C">
        <w:rPr>
          <w:rFonts w:ascii="Times New Roman" w:eastAsia="Calibri" w:hAnsi="Times New Roman" w:cs="Times New Roman"/>
          <w:bCs/>
          <w:sz w:val="24"/>
          <w:szCs w:val="24"/>
        </w:rPr>
        <w:t xml:space="preserve"> institucionalne kvalitete lokalnog područja. </w:t>
      </w:r>
      <w:r w:rsidR="00E25921" w:rsidRPr="00C0186C">
        <w:rPr>
          <w:rFonts w:ascii="Times New Roman" w:eastAsia="Calibri" w:hAnsi="Times New Roman" w:cs="Times New Roman"/>
          <w:bCs/>
          <w:sz w:val="24"/>
          <w:szCs w:val="24"/>
        </w:rPr>
        <w:t xml:space="preserve">Slijedom navedenog u ostvarenju ove mjere koristit će se različite </w:t>
      </w:r>
      <w:r w:rsidR="007B3D28" w:rsidRPr="00C0186C">
        <w:rPr>
          <w:rFonts w:ascii="Times New Roman" w:eastAsia="Calibri" w:hAnsi="Times New Roman" w:cs="Times New Roman"/>
          <w:bCs/>
          <w:sz w:val="24"/>
          <w:szCs w:val="24"/>
        </w:rPr>
        <w:t xml:space="preserve">mjere jačanja </w:t>
      </w:r>
      <w:r w:rsidR="00E25921" w:rsidRPr="00C0186C">
        <w:rPr>
          <w:rFonts w:ascii="Times New Roman" w:eastAsia="Calibri" w:hAnsi="Times New Roman" w:cs="Times New Roman"/>
          <w:bCs/>
          <w:sz w:val="24"/>
          <w:szCs w:val="24"/>
        </w:rPr>
        <w:t>institucionalnog i administrativnog ka</w:t>
      </w:r>
      <w:r w:rsidR="007B3D28" w:rsidRPr="00C0186C">
        <w:rPr>
          <w:rFonts w:ascii="Times New Roman" w:eastAsia="Calibri" w:hAnsi="Times New Roman" w:cs="Times New Roman"/>
          <w:bCs/>
          <w:sz w:val="24"/>
          <w:szCs w:val="24"/>
        </w:rPr>
        <w:t>paciteta te fiskalna mjere.</w:t>
      </w:r>
    </w:p>
    <w:p w14:paraId="2DF809D0" w14:textId="77777777" w:rsidR="007634EA" w:rsidRPr="00C0186C" w:rsidRDefault="007634EA" w:rsidP="007634EA">
      <w:pPr>
        <w:spacing w:before="0" w:after="0"/>
        <w:jc w:val="both"/>
        <w:rPr>
          <w:rFonts w:ascii="Times New Roman" w:eastAsia="Calibri" w:hAnsi="Times New Roman" w:cs="Times New Roman"/>
          <w:bCs/>
          <w:sz w:val="24"/>
          <w:szCs w:val="24"/>
        </w:rPr>
      </w:pPr>
    </w:p>
    <w:p w14:paraId="19D5E305" w14:textId="03545BC7" w:rsidR="006A104F" w:rsidRDefault="00BF063C" w:rsidP="007634EA">
      <w:pPr>
        <w:spacing w:before="0" w:after="0"/>
        <w:jc w:val="both"/>
        <w:rPr>
          <w:rFonts w:ascii="Times New Roman" w:eastAsia="Calibri" w:hAnsi="Times New Roman" w:cs="Times New Roman"/>
          <w:bCs/>
          <w:sz w:val="24"/>
          <w:szCs w:val="24"/>
        </w:rPr>
      </w:pPr>
      <w:r w:rsidRPr="00C0186C">
        <w:rPr>
          <w:rFonts w:ascii="Times New Roman" w:eastAsia="Calibri" w:hAnsi="Times New Roman" w:cs="Times New Roman"/>
          <w:b/>
          <w:sz w:val="24"/>
          <w:szCs w:val="24"/>
        </w:rPr>
        <w:t>Mjera 1.4. Veća apsorpcija EU fondova</w:t>
      </w:r>
      <w:r w:rsidRPr="00C0186C">
        <w:rPr>
          <w:rFonts w:ascii="Times New Roman" w:eastAsia="Calibri" w:hAnsi="Times New Roman" w:cs="Times New Roman"/>
          <w:bCs/>
          <w:sz w:val="24"/>
          <w:szCs w:val="24"/>
        </w:rPr>
        <w:t xml:space="preserve"> </w:t>
      </w:r>
      <w:r w:rsidR="007B0027" w:rsidRPr="00C0186C">
        <w:rPr>
          <w:rFonts w:ascii="Times New Roman" w:eastAsia="Calibri" w:hAnsi="Times New Roman" w:cs="Times New Roman"/>
          <w:bCs/>
          <w:sz w:val="24"/>
          <w:szCs w:val="24"/>
        </w:rPr>
        <w:t>usmjerena je na jačanje administrativnih kapacitet</w:t>
      </w:r>
      <w:r w:rsidR="002A1C4E" w:rsidRPr="00C0186C">
        <w:rPr>
          <w:rFonts w:ascii="Times New Roman" w:eastAsia="Calibri" w:hAnsi="Times New Roman" w:cs="Times New Roman"/>
          <w:bCs/>
          <w:sz w:val="24"/>
          <w:szCs w:val="24"/>
        </w:rPr>
        <w:t>a</w:t>
      </w:r>
      <w:r w:rsidR="007B0027" w:rsidRPr="00C0186C">
        <w:rPr>
          <w:rFonts w:ascii="Times New Roman" w:eastAsia="Calibri" w:hAnsi="Times New Roman" w:cs="Times New Roman"/>
          <w:bCs/>
          <w:sz w:val="24"/>
          <w:szCs w:val="24"/>
        </w:rPr>
        <w:t xml:space="preserve"> JLS</w:t>
      </w:r>
      <w:r w:rsidR="00577F60" w:rsidRPr="00C0186C">
        <w:rPr>
          <w:rFonts w:ascii="Times New Roman" w:eastAsia="Calibri" w:hAnsi="Times New Roman" w:cs="Times New Roman"/>
          <w:bCs/>
          <w:sz w:val="24"/>
          <w:szCs w:val="24"/>
        </w:rPr>
        <w:t>-</w:t>
      </w:r>
      <w:r w:rsidR="002A1C4E" w:rsidRPr="00C0186C">
        <w:rPr>
          <w:rFonts w:ascii="Times New Roman" w:eastAsia="Calibri" w:hAnsi="Times New Roman" w:cs="Times New Roman"/>
          <w:bCs/>
          <w:sz w:val="24"/>
          <w:szCs w:val="24"/>
        </w:rPr>
        <w:t>ova</w:t>
      </w:r>
      <w:r w:rsidR="007B0027" w:rsidRPr="00C0186C">
        <w:rPr>
          <w:rFonts w:ascii="Times New Roman" w:eastAsia="Calibri" w:hAnsi="Times New Roman" w:cs="Times New Roman"/>
          <w:bCs/>
          <w:sz w:val="24"/>
          <w:szCs w:val="24"/>
        </w:rPr>
        <w:t xml:space="preserve"> i gospodarskih subjekata u području ovladavanja specifičnim znanjima i vještinama potrebnih za prijavu na projekte sufinancirane sredstvima EU, kao i njihovu uspješnu implementaciju na PP. S obzirom na ograničenos</w:t>
      </w:r>
      <w:r w:rsidR="00577F60" w:rsidRPr="00C0186C">
        <w:rPr>
          <w:rFonts w:ascii="Times New Roman" w:eastAsia="Calibri" w:hAnsi="Times New Roman" w:cs="Times New Roman"/>
          <w:bCs/>
          <w:sz w:val="24"/>
          <w:szCs w:val="24"/>
        </w:rPr>
        <w:t>t vlastitih izvora financiranja</w:t>
      </w:r>
      <w:r w:rsidR="007B0027" w:rsidRPr="00C0186C">
        <w:rPr>
          <w:rFonts w:ascii="Times New Roman" w:eastAsia="Calibri" w:hAnsi="Times New Roman" w:cs="Times New Roman"/>
          <w:bCs/>
          <w:sz w:val="24"/>
          <w:szCs w:val="24"/>
        </w:rPr>
        <w:t xml:space="preserve"> te relativno ograničenih financijskih kapaciteta JLS</w:t>
      </w:r>
      <w:r w:rsidR="00577F60" w:rsidRPr="00C0186C">
        <w:rPr>
          <w:rFonts w:ascii="Times New Roman" w:eastAsia="Calibri" w:hAnsi="Times New Roman" w:cs="Times New Roman"/>
          <w:bCs/>
          <w:sz w:val="24"/>
          <w:szCs w:val="24"/>
        </w:rPr>
        <w:t>-</w:t>
      </w:r>
      <w:r w:rsidR="00871325">
        <w:rPr>
          <w:rFonts w:ascii="Times New Roman" w:eastAsia="Calibri" w:hAnsi="Times New Roman" w:cs="Times New Roman"/>
          <w:bCs/>
          <w:sz w:val="24"/>
          <w:szCs w:val="24"/>
        </w:rPr>
        <w:t>ov</w:t>
      </w:r>
      <w:r w:rsidR="00577F60" w:rsidRPr="00C0186C">
        <w:rPr>
          <w:rFonts w:ascii="Times New Roman" w:eastAsia="Calibri" w:hAnsi="Times New Roman" w:cs="Times New Roman"/>
          <w:bCs/>
          <w:sz w:val="24"/>
          <w:szCs w:val="24"/>
        </w:rPr>
        <w:t>a</w:t>
      </w:r>
      <w:r w:rsidR="007B0027" w:rsidRPr="00C0186C">
        <w:rPr>
          <w:rFonts w:ascii="Times New Roman" w:eastAsia="Calibri" w:hAnsi="Times New Roman" w:cs="Times New Roman"/>
          <w:bCs/>
          <w:sz w:val="24"/>
          <w:szCs w:val="24"/>
        </w:rPr>
        <w:t>, ova mjera omogućuje realizaciju</w:t>
      </w:r>
      <w:r w:rsidR="002A1C4E" w:rsidRPr="00C0186C">
        <w:rPr>
          <w:rFonts w:ascii="Times New Roman" w:eastAsia="Calibri" w:hAnsi="Times New Roman" w:cs="Times New Roman"/>
          <w:bCs/>
          <w:sz w:val="24"/>
          <w:szCs w:val="24"/>
        </w:rPr>
        <w:t xml:space="preserve"> </w:t>
      </w:r>
      <w:r w:rsidR="007B0027" w:rsidRPr="00C0186C">
        <w:rPr>
          <w:rFonts w:ascii="Times New Roman" w:eastAsia="Calibri" w:hAnsi="Times New Roman" w:cs="Times New Roman"/>
          <w:bCs/>
          <w:sz w:val="24"/>
          <w:szCs w:val="24"/>
        </w:rPr>
        <w:t>većih i ambicioznijih poduzetničkih i obrtničkih aktivnosti, kao što su širenje poslovanja, unapređenje tehnologije, umrežavanje s poduzetnicima unutar i izvan PP</w:t>
      </w:r>
      <w:r w:rsidR="002A1C4E" w:rsidRPr="00C0186C">
        <w:rPr>
          <w:rFonts w:ascii="Times New Roman" w:eastAsia="Calibri" w:hAnsi="Times New Roman" w:cs="Times New Roman"/>
          <w:bCs/>
          <w:sz w:val="24"/>
          <w:szCs w:val="24"/>
        </w:rPr>
        <w:t>-a</w:t>
      </w:r>
      <w:r w:rsidR="007B0027" w:rsidRPr="00C0186C">
        <w:rPr>
          <w:rFonts w:ascii="Times New Roman" w:eastAsia="Calibri" w:hAnsi="Times New Roman" w:cs="Times New Roman"/>
          <w:bCs/>
          <w:sz w:val="24"/>
          <w:szCs w:val="24"/>
        </w:rPr>
        <w:t xml:space="preserve">. Poduzetnicima i obrtnicima na </w:t>
      </w:r>
      <w:r w:rsidR="002A1C4E" w:rsidRPr="00C0186C">
        <w:rPr>
          <w:rFonts w:ascii="Times New Roman" w:eastAsia="Calibri" w:hAnsi="Times New Roman" w:cs="Times New Roman"/>
          <w:bCs/>
          <w:sz w:val="24"/>
          <w:szCs w:val="24"/>
        </w:rPr>
        <w:t>potpomognutim područjima</w:t>
      </w:r>
      <w:r w:rsidR="007B0027" w:rsidRPr="00C0186C">
        <w:rPr>
          <w:rFonts w:ascii="Times New Roman" w:eastAsia="Calibri" w:hAnsi="Times New Roman" w:cs="Times New Roman"/>
          <w:bCs/>
          <w:sz w:val="24"/>
          <w:szCs w:val="24"/>
        </w:rPr>
        <w:t xml:space="preserve"> na raspolaganju su brojni izvori financiranja u okviru europskih programa teritorijalne suradnje, što nedvojbeno pretpostavlja </w:t>
      </w:r>
      <w:r w:rsidR="00577F60" w:rsidRPr="00C0186C">
        <w:rPr>
          <w:rFonts w:ascii="Times New Roman" w:eastAsia="Calibri" w:hAnsi="Times New Roman" w:cs="Times New Roman"/>
          <w:bCs/>
          <w:sz w:val="24"/>
          <w:szCs w:val="24"/>
        </w:rPr>
        <w:t xml:space="preserve">mogućnost za </w:t>
      </w:r>
      <w:r w:rsidR="007B0027" w:rsidRPr="00C0186C">
        <w:rPr>
          <w:rFonts w:ascii="Times New Roman" w:eastAsia="Calibri" w:hAnsi="Times New Roman" w:cs="Times New Roman"/>
          <w:bCs/>
          <w:sz w:val="24"/>
          <w:szCs w:val="24"/>
        </w:rPr>
        <w:t xml:space="preserve">značajno osnaživanje postojećih ljudskih resursa u javnom, poduzetničkom i obrtničkom sektoru. Zbog toga se ishodi ove mjere prvenstveno očekuju u području gospodarskih mjera i </w:t>
      </w:r>
      <w:r w:rsidR="00577F60" w:rsidRPr="00C0186C">
        <w:rPr>
          <w:rFonts w:ascii="Times New Roman" w:eastAsia="Calibri" w:hAnsi="Times New Roman" w:cs="Times New Roman"/>
          <w:bCs/>
          <w:sz w:val="24"/>
          <w:szCs w:val="24"/>
        </w:rPr>
        <w:t>mjera za jačanje kapaciteta JLS-a</w:t>
      </w:r>
      <w:r w:rsidR="007B0027" w:rsidRPr="00C0186C">
        <w:rPr>
          <w:rFonts w:ascii="Times New Roman" w:eastAsia="Calibri" w:hAnsi="Times New Roman" w:cs="Times New Roman"/>
          <w:bCs/>
          <w:sz w:val="24"/>
          <w:szCs w:val="24"/>
        </w:rPr>
        <w:t xml:space="preserve"> pr</w:t>
      </w:r>
      <w:r w:rsidR="00577F60" w:rsidRPr="00C0186C">
        <w:rPr>
          <w:rFonts w:ascii="Times New Roman" w:eastAsia="Calibri" w:hAnsi="Times New Roman" w:cs="Times New Roman"/>
          <w:bCs/>
          <w:sz w:val="24"/>
          <w:szCs w:val="24"/>
        </w:rPr>
        <w:t xml:space="preserve">ema Zakonom navedenoj podjeli. </w:t>
      </w:r>
      <w:r w:rsidR="007B0027" w:rsidRPr="00C0186C">
        <w:rPr>
          <w:rFonts w:ascii="Times New Roman" w:eastAsia="Calibri" w:hAnsi="Times New Roman" w:cs="Times New Roman"/>
          <w:bCs/>
          <w:sz w:val="24"/>
          <w:szCs w:val="24"/>
        </w:rPr>
        <w:t>Aktivnosti i projekti kojima se ova mjera planira ostvariti prvenstveno se odnose na podiz</w:t>
      </w:r>
      <w:r w:rsidR="00C6373F" w:rsidRPr="00C0186C">
        <w:rPr>
          <w:rFonts w:ascii="Times New Roman" w:eastAsia="Calibri" w:hAnsi="Times New Roman" w:cs="Times New Roman"/>
          <w:bCs/>
          <w:sz w:val="24"/>
          <w:szCs w:val="24"/>
        </w:rPr>
        <w:t>anje razine znanja i vještina u području pripreme i provođenja projekata sufinanciranih iz EU fondova koji su primarno namijenjeni razvoju poduzetništva i obrtništva te povećanju zaposlenosti. Tu se misli na ljudske potencijale u samim JLS-</w:t>
      </w:r>
      <w:r w:rsidR="00871325">
        <w:rPr>
          <w:rFonts w:ascii="Times New Roman" w:eastAsia="Calibri" w:hAnsi="Times New Roman" w:cs="Times New Roman"/>
          <w:bCs/>
          <w:sz w:val="24"/>
          <w:szCs w:val="24"/>
        </w:rPr>
        <w:t>ovima</w:t>
      </w:r>
      <w:r w:rsidR="00C6373F" w:rsidRPr="00C0186C">
        <w:rPr>
          <w:rFonts w:ascii="Times New Roman" w:eastAsia="Calibri" w:hAnsi="Times New Roman" w:cs="Times New Roman"/>
          <w:bCs/>
          <w:sz w:val="24"/>
          <w:szCs w:val="24"/>
        </w:rPr>
        <w:t>, ali i na ljudske potencijale u poduzetništvu i obrtništvu, uključujući financijsku potporu</w:t>
      </w:r>
      <w:r w:rsidR="007B0027" w:rsidRPr="00C0186C">
        <w:rPr>
          <w:rFonts w:ascii="Times New Roman" w:eastAsia="Calibri" w:hAnsi="Times New Roman" w:cs="Times New Roman"/>
          <w:bCs/>
          <w:sz w:val="24"/>
          <w:szCs w:val="24"/>
        </w:rPr>
        <w:t xml:space="preserve"> </w:t>
      </w:r>
      <w:r w:rsidR="00C6373F" w:rsidRPr="00C0186C">
        <w:rPr>
          <w:rFonts w:ascii="Times New Roman" w:eastAsia="Calibri" w:hAnsi="Times New Roman" w:cs="Times New Roman"/>
          <w:bCs/>
          <w:sz w:val="24"/>
          <w:szCs w:val="24"/>
        </w:rPr>
        <w:t>pri</w:t>
      </w:r>
      <w:r w:rsidR="007B0027" w:rsidRPr="00C0186C">
        <w:rPr>
          <w:rFonts w:ascii="Times New Roman" w:eastAsia="Calibri" w:hAnsi="Times New Roman" w:cs="Times New Roman"/>
          <w:bCs/>
          <w:sz w:val="24"/>
          <w:szCs w:val="24"/>
        </w:rPr>
        <w:t xml:space="preserve"> izr</w:t>
      </w:r>
      <w:r w:rsidR="00C6373F" w:rsidRPr="00C0186C">
        <w:rPr>
          <w:rFonts w:ascii="Times New Roman" w:eastAsia="Calibri" w:hAnsi="Times New Roman" w:cs="Times New Roman"/>
          <w:bCs/>
          <w:sz w:val="24"/>
          <w:szCs w:val="24"/>
        </w:rPr>
        <w:t xml:space="preserve">adi </w:t>
      </w:r>
      <w:r w:rsidR="007B0027" w:rsidRPr="00C0186C">
        <w:rPr>
          <w:rFonts w:ascii="Times New Roman" w:eastAsia="Calibri" w:hAnsi="Times New Roman" w:cs="Times New Roman"/>
          <w:bCs/>
          <w:sz w:val="24"/>
          <w:szCs w:val="24"/>
        </w:rPr>
        <w:t xml:space="preserve">dokumentacije </w:t>
      </w:r>
      <w:r w:rsidR="00C6373F" w:rsidRPr="00C0186C">
        <w:rPr>
          <w:rFonts w:ascii="Times New Roman" w:eastAsia="Calibri" w:hAnsi="Times New Roman" w:cs="Times New Roman"/>
          <w:bCs/>
          <w:sz w:val="24"/>
          <w:szCs w:val="24"/>
        </w:rPr>
        <w:t xml:space="preserve">nužne </w:t>
      </w:r>
      <w:r w:rsidR="007B0027" w:rsidRPr="00C0186C">
        <w:rPr>
          <w:rFonts w:ascii="Times New Roman" w:eastAsia="Calibri" w:hAnsi="Times New Roman" w:cs="Times New Roman"/>
          <w:bCs/>
          <w:sz w:val="24"/>
          <w:szCs w:val="24"/>
        </w:rPr>
        <w:t>za finan</w:t>
      </w:r>
      <w:r w:rsidR="00C6373F" w:rsidRPr="00C0186C">
        <w:rPr>
          <w:rFonts w:ascii="Times New Roman" w:eastAsia="Calibri" w:hAnsi="Times New Roman" w:cs="Times New Roman"/>
          <w:bCs/>
          <w:sz w:val="24"/>
          <w:szCs w:val="24"/>
        </w:rPr>
        <w:t xml:space="preserve">ciranje projekata iz EU fondova. </w:t>
      </w:r>
      <w:r w:rsidR="007B0027" w:rsidRPr="00C0186C">
        <w:rPr>
          <w:rFonts w:ascii="Times New Roman" w:eastAsia="Calibri" w:hAnsi="Times New Roman" w:cs="Times New Roman"/>
          <w:bCs/>
          <w:sz w:val="24"/>
          <w:szCs w:val="24"/>
        </w:rPr>
        <w:t xml:space="preserve">Također, aktivnosti ove mjere usmjerene su na izradu posebnih kriterija odabira projekata, primjerice za projekte koje će zbog njihovog značaja za PP biti moguće financiranje u 100% iznosu. </w:t>
      </w:r>
    </w:p>
    <w:p w14:paraId="35844F91" w14:textId="77777777" w:rsidR="007634EA" w:rsidRPr="00C0186C" w:rsidRDefault="007634EA" w:rsidP="007634EA">
      <w:pPr>
        <w:spacing w:before="0" w:after="0"/>
        <w:jc w:val="both"/>
        <w:rPr>
          <w:rFonts w:ascii="Times New Roman" w:hAnsi="Times New Roman" w:cs="Times New Roman"/>
          <w:b/>
          <w:bCs/>
          <w:sz w:val="24"/>
          <w:szCs w:val="24"/>
        </w:rPr>
      </w:pPr>
    </w:p>
    <w:bookmarkEnd w:id="19"/>
    <w:p w14:paraId="56EB943D" w14:textId="6D2132B8" w:rsidR="007634EA" w:rsidRDefault="0083583A" w:rsidP="00B70EE8">
      <w:pPr>
        <w:spacing w:before="0" w:after="0"/>
        <w:jc w:val="both"/>
        <w:rPr>
          <w:rFonts w:ascii="Times New Roman" w:hAnsi="Times New Roman" w:cs="Times New Roman"/>
          <w:sz w:val="24"/>
          <w:szCs w:val="24"/>
        </w:rPr>
      </w:pPr>
      <w:r w:rsidRPr="00C0186C">
        <w:rPr>
          <w:rFonts w:ascii="Times New Roman" w:hAnsi="Times New Roman" w:cs="Times New Roman"/>
          <w:b/>
          <w:bCs/>
          <w:sz w:val="24"/>
          <w:szCs w:val="24"/>
        </w:rPr>
        <w:t>Mjera 2.1.</w:t>
      </w:r>
      <w:r w:rsidR="00891317" w:rsidRPr="00C0186C">
        <w:rPr>
          <w:rFonts w:ascii="Times New Roman" w:hAnsi="Times New Roman" w:cs="Times New Roman"/>
          <w:b/>
          <w:bCs/>
          <w:sz w:val="24"/>
          <w:szCs w:val="24"/>
        </w:rPr>
        <w:t xml:space="preserve"> </w:t>
      </w:r>
      <w:r w:rsidR="002A19BC" w:rsidRPr="00C0186C">
        <w:rPr>
          <w:rFonts w:ascii="Times New Roman" w:hAnsi="Times New Roman" w:cs="Times New Roman"/>
          <w:b/>
          <w:sz w:val="24"/>
          <w:szCs w:val="24"/>
        </w:rPr>
        <w:t xml:space="preserve">Zadržavanje postojećeg i povrat iseljenog stanovništva te doseljavanje novog stanovništva </w:t>
      </w:r>
      <w:r w:rsidR="00891317" w:rsidRPr="00C0186C">
        <w:rPr>
          <w:rFonts w:ascii="Times New Roman" w:hAnsi="Times New Roman" w:cs="Times New Roman"/>
          <w:sz w:val="24"/>
          <w:szCs w:val="24"/>
        </w:rPr>
        <w:t>usmjerena je na poticanje demografskog oporavka potpomognutih područja</w:t>
      </w:r>
      <w:r w:rsidR="009D41E3" w:rsidRPr="00C0186C">
        <w:rPr>
          <w:rFonts w:ascii="Times New Roman" w:hAnsi="Times New Roman" w:cs="Times New Roman"/>
          <w:sz w:val="24"/>
          <w:szCs w:val="24"/>
        </w:rPr>
        <w:t xml:space="preserve"> </w:t>
      </w:r>
      <w:r w:rsidR="00891317" w:rsidRPr="00C0186C">
        <w:rPr>
          <w:rFonts w:ascii="Times New Roman" w:hAnsi="Times New Roman" w:cs="Times New Roman"/>
          <w:sz w:val="24"/>
          <w:szCs w:val="24"/>
        </w:rPr>
        <w:t>kroz zaustavljanje i promjenu izrazito negativnih migracijskih tokova stanovništva na njihovom prostoru</w:t>
      </w:r>
      <w:r w:rsidR="00215DFC" w:rsidRPr="00C0186C">
        <w:rPr>
          <w:rFonts w:ascii="Times New Roman" w:hAnsi="Times New Roman" w:cs="Times New Roman"/>
          <w:sz w:val="24"/>
          <w:szCs w:val="24"/>
        </w:rPr>
        <w:t xml:space="preserve"> </w:t>
      </w:r>
      <w:r w:rsidR="009D41E3" w:rsidRPr="00C0186C">
        <w:rPr>
          <w:rFonts w:ascii="Times New Roman" w:hAnsi="Times New Roman" w:cs="Times New Roman"/>
          <w:sz w:val="24"/>
          <w:szCs w:val="24"/>
        </w:rPr>
        <w:t xml:space="preserve">koji su doveli do </w:t>
      </w:r>
      <w:r w:rsidR="00215DFC" w:rsidRPr="00C0186C">
        <w:rPr>
          <w:rFonts w:ascii="Times New Roman" w:hAnsi="Times New Roman" w:cs="Times New Roman"/>
          <w:sz w:val="24"/>
          <w:szCs w:val="24"/>
        </w:rPr>
        <w:t xml:space="preserve">značajnog </w:t>
      </w:r>
      <w:r w:rsidR="00891317" w:rsidRPr="00C0186C">
        <w:rPr>
          <w:rFonts w:ascii="Times New Roman" w:hAnsi="Times New Roman" w:cs="Times New Roman"/>
          <w:sz w:val="24"/>
          <w:szCs w:val="24"/>
        </w:rPr>
        <w:t>pogoršanj</w:t>
      </w:r>
      <w:r w:rsidR="009D41E3" w:rsidRPr="00C0186C">
        <w:rPr>
          <w:rFonts w:ascii="Times New Roman" w:hAnsi="Times New Roman" w:cs="Times New Roman"/>
          <w:sz w:val="24"/>
          <w:szCs w:val="24"/>
        </w:rPr>
        <w:t>a</w:t>
      </w:r>
      <w:r w:rsidR="00891317" w:rsidRPr="00C0186C">
        <w:rPr>
          <w:rFonts w:ascii="Times New Roman" w:hAnsi="Times New Roman" w:cs="Times New Roman"/>
          <w:sz w:val="24"/>
          <w:szCs w:val="24"/>
        </w:rPr>
        <w:t xml:space="preserve"> strukturnih obilježja stanovništva. Budući da su time kritično smanjeni realni radni i ljudski potencijali potpomognutih područja, nužno je s aspekta integriranog djelovanja regionalne politike pridonijeti sustavnim naporima demografskih politika na svim razinama u </w:t>
      </w:r>
      <w:r w:rsidR="00A41975" w:rsidRPr="00C0186C">
        <w:rPr>
          <w:rFonts w:ascii="Times New Roman" w:hAnsi="Times New Roman" w:cs="Times New Roman"/>
          <w:sz w:val="24"/>
          <w:szCs w:val="24"/>
        </w:rPr>
        <w:t xml:space="preserve">poticanju </w:t>
      </w:r>
      <w:r w:rsidR="00891317" w:rsidRPr="00C0186C">
        <w:rPr>
          <w:rFonts w:ascii="Times New Roman" w:hAnsi="Times New Roman" w:cs="Times New Roman"/>
          <w:sz w:val="24"/>
          <w:szCs w:val="24"/>
        </w:rPr>
        <w:t xml:space="preserve">zadržavanja i povratka stanovništva u potpomognuta područja. Sukladno tome, očekivani učinci ove mjere u </w:t>
      </w:r>
      <w:r w:rsidR="00A41975" w:rsidRPr="00C0186C">
        <w:rPr>
          <w:rFonts w:ascii="Times New Roman" w:hAnsi="Times New Roman" w:cs="Times New Roman"/>
          <w:sz w:val="24"/>
          <w:szCs w:val="24"/>
        </w:rPr>
        <w:t xml:space="preserve">cilju </w:t>
      </w:r>
      <w:r w:rsidR="00891317" w:rsidRPr="00C0186C">
        <w:rPr>
          <w:rFonts w:ascii="Times New Roman" w:hAnsi="Times New Roman" w:cs="Times New Roman"/>
          <w:sz w:val="24"/>
          <w:szCs w:val="24"/>
        </w:rPr>
        <w:t xml:space="preserve">podizanja sveukupne atraktivnosti potpomognutih područja za život, rad i poslovanje bit će komplementarni očekivanim učincima prethodno opisanih mjera cilja 1. Pritom, u fokusu ove mjere su oni projekti i aktivnosti koji mogu olakšati rješavanje stambenog pitanja i opremanje stambenog prostora, zatim povećati dostupnost i kvalitetu diversificiranih sadržaja i usluga bitnih za kvalitetan i ispunjen život te poboljšati obrazovne mogućnosti i jednakost pristupa obrazovanju za sve. Stoga, kako bi se intenzivnije potaknulo zadržavanje, povrat i naseljavanje stanovništva u </w:t>
      </w:r>
      <w:r w:rsidR="007038CF" w:rsidRPr="00C0186C">
        <w:rPr>
          <w:rFonts w:ascii="Times New Roman" w:hAnsi="Times New Roman" w:cs="Times New Roman"/>
          <w:sz w:val="24"/>
          <w:szCs w:val="24"/>
        </w:rPr>
        <w:t>JLS</w:t>
      </w:r>
      <w:r w:rsidR="002A1C4E" w:rsidRPr="00C0186C">
        <w:rPr>
          <w:rFonts w:ascii="Times New Roman" w:hAnsi="Times New Roman" w:cs="Times New Roman"/>
          <w:sz w:val="24"/>
          <w:szCs w:val="24"/>
        </w:rPr>
        <w:t>-ove</w:t>
      </w:r>
      <w:r w:rsidR="00891317" w:rsidRPr="00C0186C">
        <w:rPr>
          <w:rFonts w:ascii="Times New Roman" w:hAnsi="Times New Roman" w:cs="Times New Roman"/>
          <w:sz w:val="24"/>
          <w:szCs w:val="24"/>
        </w:rPr>
        <w:t xml:space="preserve"> sa statusom PP</w:t>
      </w:r>
      <w:r w:rsidR="002A1C4E" w:rsidRPr="00C0186C">
        <w:rPr>
          <w:rFonts w:ascii="Times New Roman" w:hAnsi="Times New Roman" w:cs="Times New Roman"/>
          <w:sz w:val="24"/>
          <w:szCs w:val="24"/>
        </w:rPr>
        <w:t>-a</w:t>
      </w:r>
      <w:r w:rsidR="00891317" w:rsidRPr="00C0186C">
        <w:rPr>
          <w:rFonts w:ascii="Times New Roman" w:hAnsi="Times New Roman" w:cs="Times New Roman"/>
          <w:sz w:val="24"/>
          <w:szCs w:val="24"/>
        </w:rPr>
        <w:t>, kroz ovu mjeru osigurat će se financijska potpora stambenom zbrinjavanju mladog, radno aktivnog i radno sposobnog stanovništva. Na taj način realizacija ove mjere, osim rasta broja stanovnika i kućanstva, doprinijet će obnovi radnog kontingenta i povećanju ponude radne snage u potpomognutim područjima. Isto tako, ovom mjerom sufinancirat će se projekti i aktivnosti koji su usmjereni na unaprjeđenje kvalitete života</w:t>
      </w:r>
      <w:r w:rsidR="00A41975" w:rsidRPr="00C0186C">
        <w:rPr>
          <w:rFonts w:ascii="Times New Roman" w:hAnsi="Times New Roman" w:cs="Times New Roman"/>
          <w:sz w:val="24"/>
          <w:szCs w:val="24"/>
        </w:rPr>
        <w:t xml:space="preserve"> </w:t>
      </w:r>
      <w:r w:rsidR="00891317" w:rsidRPr="00C0186C">
        <w:rPr>
          <w:rFonts w:ascii="Times New Roman" w:hAnsi="Times New Roman" w:cs="Times New Roman"/>
          <w:sz w:val="24"/>
          <w:szCs w:val="24"/>
        </w:rPr>
        <w:t xml:space="preserve">kroz razvoj i obogaćivanje ponude deficitarnih sadržaja i usluga u području obrazovanja, kulture, zdravstva i skrbi, športa i rekreacije, slobodnih aktivnosti, ali i drugih </w:t>
      </w:r>
      <w:r w:rsidR="00A41975" w:rsidRPr="00C0186C">
        <w:rPr>
          <w:rFonts w:ascii="Times New Roman" w:hAnsi="Times New Roman" w:cs="Times New Roman"/>
          <w:sz w:val="24"/>
          <w:szCs w:val="24"/>
        </w:rPr>
        <w:t xml:space="preserve">specifičnih </w:t>
      </w:r>
      <w:r w:rsidR="00891317" w:rsidRPr="00C0186C">
        <w:rPr>
          <w:rFonts w:ascii="Times New Roman" w:hAnsi="Times New Roman" w:cs="Times New Roman"/>
          <w:sz w:val="24"/>
          <w:szCs w:val="24"/>
        </w:rPr>
        <w:t xml:space="preserve">sadržaja i usluga koji mogu povećati atraktivnost </w:t>
      </w:r>
      <w:r w:rsidR="007038CF" w:rsidRPr="00C0186C">
        <w:rPr>
          <w:rFonts w:ascii="Times New Roman" w:hAnsi="Times New Roman" w:cs="Times New Roman"/>
          <w:sz w:val="24"/>
          <w:szCs w:val="24"/>
        </w:rPr>
        <w:t>JLS</w:t>
      </w:r>
      <w:r w:rsidR="00293D81" w:rsidRPr="00C0186C">
        <w:rPr>
          <w:rFonts w:ascii="Times New Roman" w:hAnsi="Times New Roman" w:cs="Times New Roman"/>
          <w:sz w:val="24"/>
          <w:szCs w:val="24"/>
        </w:rPr>
        <w:t>-ova</w:t>
      </w:r>
      <w:r w:rsidR="00891317" w:rsidRPr="00C0186C">
        <w:rPr>
          <w:rFonts w:ascii="Times New Roman" w:hAnsi="Times New Roman" w:cs="Times New Roman"/>
          <w:sz w:val="24"/>
          <w:szCs w:val="24"/>
        </w:rPr>
        <w:t xml:space="preserve"> sa statusom PP</w:t>
      </w:r>
      <w:r w:rsidR="00293D81" w:rsidRPr="00C0186C">
        <w:rPr>
          <w:rFonts w:ascii="Times New Roman" w:hAnsi="Times New Roman" w:cs="Times New Roman"/>
          <w:sz w:val="24"/>
          <w:szCs w:val="24"/>
        </w:rPr>
        <w:t>-a</w:t>
      </w:r>
      <w:r w:rsidR="00891317" w:rsidRPr="00C0186C">
        <w:rPr>
          <w:rFonts w:ascii="Times New Roman" w:hAnsi="Times New Roman" w:cs="Times New Roman"/>
          <w:sz w:val="24"/>
          <w:szCs w:val="24"/>
        </w:rPr>
        <w:t xml:space="preserve"> u</w:t>
      </w:r>
      <w:r w:rsidR="00A41975" w:rsidRPr="00C0186C">
        <w:rPr>
          <w:rFonts w:ascii="Times New Roman" w:hAnsi="Times New Roman" w:cs="Times New Roman"/>
          <w:sz w:val="24"/>
          <w:szCs w:val="24"/>
        </w:rPr>
        <w:t xml:space="preserve"> pogledu</w:t>
      </w:r>
      <w:r w:rsidR="00891317" w:rsidRPr="00C0186C">
        <w:rPr>
          <w:rFonts w:ascii="Times New Roman" w:hAnsi="Times New Roman" w:cs="Times New Roman"/>
          <w:sz w:val="24"/>
          <w:szCs w:val="24"/>
        </w:rPr>
        <w:t xml:space="preserve"> zadržavanja i trajne imigracije stanovništva na njihovim prostorima. </w:t>
      </w:r>
      <w:r w:rsidR="00215DFC" w:rsidRPr="00C0186C">
        <w:rPr>
          <w:rFonts w:ascii="Times New Roman" w:hAnsi="Times New Roman" w:cs="Times New Roman"/>
          <w:sz w:val="24"/>
          <w:szCs w:val="24"/>
        </w:rPr>
        <w:t>To se odnosi i na</w:t>
      </w:r>
      <w:r w:rsidR="00891317" w:rsidRPr="00C0186C">
        <w:rPr>
          <w:rFonts w:ascii="Times New Roman" w:hAnsi="Times New Roman" w:cs="Times New Roman"/>
          <w:sz w:val="24"/>
          <w:szCs w:val="24"/>
        </w:rPr>
        <w:t xml:space="preserve"> projekt</w:t>
      </w:r>
      <w:r w:rsidR="00215DFC" w:rsidRPr="00C0186C">
        <w:rPr>
          <w:rFonts w:ascii="Times New Roman" w:hAnsi="Times New Roman" w:cs="Times New Roman"/>
          <w:sz w:val="24"/>
          <w:szCs w:val="24"/>
        </w:rPr>
        <w:t>e</w:t>
      </w:r>
      <w:r w:rsidR="00DE11B9" w:rsidRPr="00C0186C">
        <w:rPr>
          <w:rFonts w:ascii="Times New Roman" w:hAnsi="Times New Roman" w:cs="Times New Roman"/>
          <w:sz w:val="24"/>
          <w:szCs w:val="24"/>
        </w:rPr>
        <w:t xml:space="preserve">, odnosno </w:t>
      </w:r>
      <w:r w:rsidR="00891317" w:rsidRPr="00C0186C">
        <w:rPr>
          <w:rFonts w:ascii="Times New Roman" w:hAnsi="Times New Roman" w:cs="Times New Roman"/>
          <w:sz w:val="24"/>
          <w:szCs w:val="24"/>
        </w:rPr>
        <w:t>aktivnosti koji putem pametnih i inovativnih rješenja mogu olakšati pristup i korištenje usluga</w:t>
      </w:r>
      <w:r w:rsidR="00215DFC" w:rsidRPr="00C0186C">
        <w:rPr>
          <w:rFonts w:ascii="Times New Roman" w:hAnsi="Times New Roman" w:cs="Times New Roman"/>
          <w:sz w:val="24"/>
          <w:szCs w:val="24"/>
        </w:rPr>
        <w:t xml:space="preserve"> u lokalnim zajednicama</w:t>
      </w:r>
      <w:r w:rsidR="00891317" w:rsidRPr="00C0186C">
        <w:rPr>
          <w:rFonts w:ascii="Times New Roman" w:hAnsi="Times New Roman" w:cs="Times New Roman"/>
          <w:sz w:val="24"/>
          <w:szCs w:val="24"/>
        </w:rPr>
        <w:t xml:space="preserve"> za potrebite marginalizirane društvene skupine te aktivirati zapuštenu i neaktivnu dugotrajnu materijalnu imovinu u društveno korisne svrhe. Temeljem takvog provedbenog pristupa, ova mjera </w:t>
      </w:r>
      <w:r w:rsidR="002C3DEA" w:rsidRPr="00C0186C">
        <w:rPr>
          <w:rFonts w:ascii="Times New Roman" w:hAnsi="Times New Roman" w:cs="Times New Roman"/>
          <w:sz w:val="24"/>
          <w:szCs w:val="24"/>
        </w:rPr>
        <w:t xml:space="preserve">utjecat će </w:t>
      </w:r>
      <w:r w:rsidR="00891317" w:rsidRPr="00C0186C">
        <w:rPr>
          <w:rFonts w:ascii="Times New Roman" w:hAnsi="Times New Roman" w:cs="Times New Roman"/>
          <w:sz w:val="24"/>
          <w:szCs w:val="24"/>
        </w:rPr>
        <w:t xml:space="preserve">na smanjenje društvenih nejednakosti na lokalnoj razini te potaknuti kapitalizaciju napuštenih, derutnih i nefunkcionalnih objekata i površina na opću dobrobit lokalnih zajednica u potpomognutim područjima. </w:t>
      </w:r>
      <w:r w:rsidR="00F52DEA" w:rsidRPr="00C0186C">
        <w:rPr>
          <w:rFonts w:ascii="Times New Roman" w:hAnsi="Times New Roman" w:cs="Times New Roman"/>
          <w:sz w:val="24"/>
          <w:szCs w:val="24"/>
        </w:rPr>
        <w:t xml:space="preserve">Na kraju, provedbom ove mjere pružit će se financijska podrška stvaranju boljih obrazovnih prilika i mogućnosti za stanovnike potpomognutih područja, a posebno onih koji su prilagođeni potrebama lokalnih tržišta rada i lokalnih zajednica. Tu se konkretno misli na sufinanciranje provedbe aktivnosti, projekata i programa obrazovnih ustanova, centara izvrsnosti i centara kompetencija koji će omogućiti stjecanje željenih i odgovarajućih kvalifikacija i vještina potrebnih za svestran profesionalni i osobni razvoj pojedinaca u ispodprosječno razvijenim </w:t>
      </w:r>
      <w:r w:rsidR="007038CF" w:rsidRPr="00C0186C">
        <w:rPr>
          <w:rFonts w:ascii="Times New Roman" w:hAnsi="Times New Roman" w:cs="Times New Roman"/>
          <w:sz w:val="24"/>
          <w:szCs w:val="24"/>
        </w:rPr>
        <w:t>JLS</w:t>
      </w:r>
      <w:r w:rsidR="00293D81" w:rsidRPr="00C0186C">
        <w:rPr>
          <w:rFonts w:ascii="Times New Roman" w:hAnsi="Times New Roman" w:cs="Times New Roman"/>
          <w:sz w:val="24"/>
          <w:szCs w:val="24"/>
        </w:rPr>
        <w:t>-ovima</w:t>
      </w:r>
      <w:r w:rsidR="00F52DEA" w:rsidRPr="00C0186C">
        <w:rPr>
          <w:rFonts w:ascii="Times New Roman" w:hAnsi="Times New Roman" w:cs="Times New Roman"/>
          <w:sz w:val="24"/>
          <w:szCs w:val="24"/>
        </w:rPr>
        <w:t>.</w:t>
      </w:r>
      <w:r w:rsidR="00BD2D9A" w:rsidRPr="00C0186C">
        <w:rPr>
          <w:rFonts w:ascii="Times New Roman" w:hAnsi="Times New Roman" w:cs="Times New Roman"/>
          <w:sz w:val="24"/>
          <w:szCs w:val="24"/>
        </w:rPr>
        <w:t xml:space="preserve"> Također, </w:t>
      </w:r>
      <w:r w:rsidR="002C3DEA" w:rsidRPr="00C0186C">
        <w:rPr>
          <w:rFonts w:ascii="Times New Roman" w:hAnsi="Times New Roman" w:cs="Times New Roman"/>
          <w:sz w:val="24"/>
          <w:szCs w:val="24"/>
        </w:rPr>
        <w:t xml:space="preserve">ovaj segment mjere </w:t>
      </w:r>
      <w:r w:rsidR="00DE11B9" w:rsidRPr="00C0186C">
        <w:rPr>
          <w:rFonts w:ascii="Times New Roman" w:hAnsi="Times New Roman" w:cs="Times New Roman"/>
          <w:sz w:val="24"/>
          <w:szCs w:val="24"/>
        </w:rPr>
        <w:t xml:space="preserve">2.1. </w:t>
      </w:r>
      <w:r w:rsidR="002C3DEA" w:rsidRPr="00C0186C">
        <w:rPr>
          <w:rFonts w:ascii="Times New Roman" w:hAnsi="Times New Roman" w:cs="Times New Roman"/>
          <w:sz w:val="24"/>
          <w:szCs w:val="24"/>
        </w:rPr>
        <w:t>uključuje i s</w:t>
      </w:r>
      <w:r w:rsidR="00BD2D9A" w:rsidRPr="00C0186C">
        <w:rPr>
          <w:rFonts w:ascii="Times New Roman" w:hAnsi="Times New Roman" w:cs="Times New Roman"/>
          <w:sz w:val="24"/>
          <w:szCs w:val="24"/>
        </w:rPr>
        <w:t xml:space="preserve">ufinanciranje i stipendiranje pohađanja </w:t>
      </w:r>
      <w:r w:rsidR="002C3DEA" w:rsidRPr="00C0186C">
        <w:rPr>
          <w:rFonts w:ascii="Times New Roman" w:hAnsi="Times New Roman" w:cs="Times New Roman"/>
          <w:sz w:val="24"/>
          <w:szCs w:val="24"/>
        </w:rPr>
        <w:t xml:space="preserve">dostupnih i dislociranih </w:t>
      </w:r>
      <w:r w:rsidR="00BD2D9A" w:rsidRPr="00C0186C">
        <w:rPr>
          <w:rFonts w:ascii="Times New Roman" w:hAnsi="Times New Roman" w:cs="Times New Roman"/>
          <w:sz w:val="24"/>
          <w:szCs w:val="24"/>
        </w:rPr>
        <w:t>programa formalnog i cjeloživotnog obrazovanja i učenja</w:t>
      </w:r>
      <w:r w:rsidR="002C3DEA" w:rsidRPr="00C0186C">
        <w:rPr>
          <w:rFonts w:ascii="Times New Roman" w:hAnsi="Times New Roman" w:cs="Times New Roman"/>
          <w:sz w:val="24"/>
          <w:szCs w:val="24"/>
        </w:rPr>
        <w:t xml:space="preserve"> u svrhu osposobljavanja stanovništva za produktivan rad</w:t>
      </w:r>
      <w:r w:rsidR="00043342" w:rsidRPr="00C0186C">
        <w:rPr>
          <w:rFonts w:ascii="Times New Roman" w:hAnsi="Times New Roman" w:cs="Times New Roman"/>
          <w:sz w:val="24"/>
          <w:szCs w:val="24"/>
        </w:rPr>
        <w:t>, poduzetničko djelovanje</w:t>
      </w:r>
      <w:r w:rsidR="002C3DEA" w:rsidRPr="00C0186C">
        <w:rPr>
          <w:rFonts w:ascii="Times New Roman" w:hAnsi="Times New Roman" w:cs="Times New Roman"/>
          <w:sz w:val="24"/>
          <w:szCs w:val="24"/>
        </w:rPr>
        <w:t xml:space="preserve"> i </w:t>
      </w:r>
      <w:r w:rsidR="00043342" w:rsidRPr="00C0186C">
        <w:rPr>
          <w:rFonts w:ascii="Times New Roman" w:hAnsi="Times New Roman" w:cs="Times New Roman"/>
          <w:sz w:val="24"/>
          <w:szCs w:val="24"/>
        </w:rPr>
        <w:t xml:space="preserve">dostojan </w:t>
      </w:r>
      <w:r w:rsidR="002C3DEA" w:rsidRPr="00C0186C">
        <w:rPr>
          <w:rFonts w:ascii="Times New Roman" w:hAnsi="Times New Roman" w:cs="Times New Roman"/>
          <w:sz w:val="24"/>
          <w:szCs w:val="24"/>
        </w:rPr>
        <w:t>život u lokalnoj zajednici i gospodarstvu</w:t>
      </w:r>
      <w:r w:rsidR="00043342" w:rsidRPr="00C0186C">
        <w:rPr>
          <w:rFonts w:ascii="Times New Roman" w:hAnsi="Times New Roman" w:cs="Times New Roman"/>
          <w:sz w:val="24"/>
          <w:szCs w:val="24"/>
        </w:rPr>
        <w:t xml:space="preserve">, što posljedično može rezultirati većom razinom ekonomske i društvene aktivnosti stanovništva u potpomognutim područjima. Uvažavajući </w:t>
      </w:r>
      <w:r w:rsidR="00467075" w:rsidRPr="00C0186C">
        <w:rPr>
          <w:rFonts w:ascii="Times New Roman" w:hAnsi="Times New Roman" w:cs="Times New Roman"/>
          <w:sz w:val="24"/>
          <w:szCs w:val="24"/>
        </w:rPr>
        <w:t xml:space="preserve">predviđeni </w:t>
      </w:r>
      <w:r w:rsidR="00043342" w:rsidRPr="00C0186C">
        <w:rPr>
          <w:rFonts w:ascii="Times New Roman" w:hAnsi="Times New Roman" w:cs="Times New Roman"/>
          <w:sz w:val="24"/>
          <w:szCs w:val="24"/>
        </w:rPr>
        <w:t xml:space="preserve">obuhvat djelovanja aktivnosti i projekata </w:t>
      </w:r>
      <w:r w:rsidR="00467075" w:rsidRPr="00C0186C">
        <w:rPr>
          <w:rFonts w:ascii="Times New Roman" w:hAnsi="Times New Roman" w:cs="Times New Roman"/>
          <w:sz w:val="24"/>
          <w:szCs w:val="24"/>
        </w:rPr>
        <w:t xml:space="preserve">koji se planiraju poticati </w:t>
      </w:r>
      <w:r w:rsidR="00043342" w:rsidRPr="00C0186C">
        <w:rPr>
          <w:rFonts w:ascii="Times New Roman" w:hAnsi="Times New Roman" w:cs="Times New Roman"/>
          <w:sz w:val="24"/>
          <w:szCs w:val="24"/>
        </w:rPr>
        <w:t>u okviru ove mjere, njezin</w:t>
      </w:r>
      <w:r w:rsidR="00D4588B" w:rsidRPr="00C0186C">
        <w:rPr>
          <w:rFonts w:ascii="Times New Roman" w:hAnsi="Times New Roman" w:cs="Times New Roman"/>
          <w:sz w:val="24"/>
          <w:szCs w:val="24"/>
        </w:rPr>
        <w:t>u</w:t>
      </w:r>
      <w:r w:rsidR="00043342" w:rsidRPr="00C0186C">
        <w:rPr>
          <w:rFonts w:ascii="Times New Roman" w:hAnsi="Times New Roman" w:cs="Times New Roman"/>
          <w:sz w:val="24"/>
          <w:szCs w:val="24"/>
        </w:rPr>
        <w:t xml:space="preserve"> provedb</w:t>
      </w:r>
      <w:r w:rsidR="00D4588B" w:rsidRPr="00C0186C">
        <w:rPr>
          <w:rFonts w:ascii="Times New Roman" w:hAnsi="Times New Roman" w:cs="Times New Roman"/>
          <w:sz w:val="24"/>
          <w:szCs w:val="24"/>
        </w:rPr>
        <w:t xml:space="preserve">u </w:t>
      </w:r>
      <w:r w:rsidR="00467075" w:rsidRPr="00C0186C">
        <w:rPr>
          <w:rFonts w:ascii="Times New Roman" w:hAnsi="Times New Roman" w:cs="Times New Roman"/>
          <w:sz w:val="24"/>
          <w:szCs w:val="24"/>
        </w:rPr>
        <w:t>nužno je temeljiti na demografskim, socijalnim i gospodarskim grupama mjera.</w:t>
      </w:r>
    </w:p>
    <w:p w14:paraId="2DA3BC73" w14:textId="77777777" w:rsidR="00263E48" w:rsidRPr="00C0186C" w:rsidRDefault="00263E48" w:rsidP="00B70EE8">
      <w:pPr>
        <w:spacing w:before="0" w:after="0"/>
        <w:jc w:val="both"/>
        <w:rPr>
          <w:rFonts w:ascii="Times New Roman" w:hAnsi="Times New Roman" w:cs="Times New Roman"/>
          <w:sz w:val="24"/>
          <w:szCs w:val="24"/>
        </w:rPr>
      </w:pPr>
    </w:p>
    <w:p w14:paraId="7BE3B8CE" w14:textId="77777777" w:rsidR="00755E91" w:rsidRPr="00C0186C" w:rsidRDefault="0083583A" w:rsidP="00B70EE8">
      <w:pPr>
        <w:spacing w:before="0" w:after="0"/>
        <w:jc w:val="both"/>
        <w:rPr>
          <w:rFonts w:ascii="Times New Roman" w:hAnsi="Times New Roman" w:cs="Times New Roman"/>
          <w:bCs/>
          <w:sz w:val="24"/>
          <w:szCs w:val="24"/>
        </w:rPr>
      </w:pPr>
      <w:r w:rsidRPr="00C0186C">
        <w:rPr>
          <w:rFonts w:ascii="Times New Roman" w:hAnsi="Times New Roman" w:cs="Times New Roman"/>
          <w:b/>
          <w:bCs/>
          <w:sz w:val="24"/>
          <w:szCs w:val="24"/>
        </w:rPr>
        <w:t>Mjera 2.2.</w:t>
      </w:r>
      <w:r w:rsidR="00D4588B" w:rsidRPr="00C0186C">
        <w:rPr>
          <w:rFonts w:ascii="Times New Roman" w:hAnsi="Times New Roman" w:cs="Times New Roman"/>
          <w:b/>
          <w:bCs/>
          <w:sz w:val="24"/>
          <w:szCs w:val="24"/>
        </w:rPr>
        <w:t xml:space="preserve"> Poticanje prirodnog prirasta stanovništva</w:t>
      </w:r>
      <w:r w:rsidR="00736BEE" w:rsidRPr="00C0186C">
        <w:rPr>
          <w:rFonts w:ascii="Times New Roman" w:hAnsi="Times New Roman" w:cs="Times New Roman"/>
          <w:bCs/>
          <w:sz w:val="24"/>
          <w:szCs w:val="24"/>
        </w:rPr>
        <w:t xml:space="preserve"> usmjerena </w:t>
      </w:r>
      <w:r w:rsidR="000D47FD" w:rsidRPr="00C0186C">
        <w:rPr>
          <w:rFonts w:ascii="Times New Roman" w:hAnsi="Times New Roman" w:cs="Times New Roman"/>
          <w:bCs/>
          <w:sz w:val="24"/>
          <w:szCs w:val="24"/>
        </w:rPr>
        <w:t>je na oporavak i jačanje prirodne komponente populacijske dinamike stanovništva u potpomognutim područjima.</w:t>
      </w:r>
      <w:r w:rsidR="005743A7" w:rsidRPr="00C0186C">
        <w:rPr>
          <w:rFonts w:ascii="Times New Roman" w:hAnsi="Times New Roman" w:cs="Times New Roman"/>
          <w:bCs/>
          <w:sz w:val="24"/>
          <w:szCs w:val="24"/>
        </w:rPr>
        <w:t xml:space="preserve"> Naime, zbog dugoročne emigracije stanovnika radne i fertilne dobi iz potpomognutih područja, a posljedično tome i dominantne zastupljenosti starijih dobnih kontingenata, došlo je </w:t>
      </w:r>
      <w:r w:rsidR="000A5428" w:rsidRPr="00C0186C">
        <w:rPr>
          <w:rFonts w:ascii="Times New Roman" w:hAnsi="Times New Roman" w:cs="Times New Roman"/>
          <w:bCs/>
          <w:sz w:val="24"/>
          <w:szCs w:val="24"/>
        </w:rPr>
        <w:t xml:space="preserve">do </w:t>
      </w:r>
      <w:r w:rsidR="005743A7" w:rsidRPr="00C0186C">
        <w:rPr>
          <w:rFonts w:ascii="Times New Roman" w:hAnsi="Times New Roman" w:cs="Times New Roman"/>
          <w:bCs/>
          <w:sz w:val="24"/>
          <w:szCs w:val="24"/>
        </w:rPr>
        <w:t xml:space="preserve">ozbiljnog narušavanja bio-reprodukcijskog potencijala stanovništva u većini </w:t>
      </w:r>
      <w:r w:rsidR="007038CF" w:rsidRPr="00C0186C">
        <w:rPr>
          <w:rFonts w:ascii="Times New Roman" w:hAnsi="Times New Roman" w:cs="Times New Roman"/>
          <w:bCs/>
          <w:sz w:val="24"/>
          <w:szCs w:val="24"/>
        </w:rPr>
        <w:t>JLS</w:t>
      </w:r>
      <w:r w:rsidR="00293D81" w:rsidRPr="00C0186C">
        <w:rPr>
          <w:rFonts w:ascii="Times New Roman" w:hAnsi="Times New Roman" w:cs="Times New Roman"/>
          <w:bCs/>
          <w:sz w:val="24"/>
          <w:szCs w:val="24"/>
        </w:rPr>
        <w:t>-ova</w:t>
      </w:r>
      <w:r w:rsidR="005743A7" w:rsidRPr="00C0186C">
        <w:rPr>
          <w:rFonts w:ascii="Times New Roman" w:hAnsi="Times New Roman" w:cs="Times New Roman"/>
          <w:bCs/>
          <w:sz w:val="24"/>
          <w:szCs w:val="24"/>
        </w:rPr>
        <w:t xml:space="preserve"> sa statusom PP</w:t>
      </w:r>
      <w:r w:rsidR="00293D81" w:rsidRPr="00C0186C">
        <w:rPr>
          <w:rFonts w:ascii="Times New Roman" w:hAnsi="Times New Roman" w:cs="Times New Roman"/>
          <w:bCs/>
          <w:sz w:val="24"/>
          <w:szCs w:val="24"/>
        </w:rPr>
        <w:t>-a</w:t>
      </w:r>
      <w:r w:rsidR="005743A7" w:rsidRPr="00C0186C">
        <w:rPr>
          <w:rFonts w:ascii="Times New Roman" w:hAnsi="Times New Roman" w:cs="Times New Roman"/>
          <w:bCs/>
          <w:sz w:val="24"/>
          <w:szCs w:val="24"/>
        </w:rPr>
        <w:t>. U takvim okolnostima</w:t>
      </w:r>
      <w:r w:rsidR="00713CF1" w:rsidRPr="00C0186C">
        <w:rPr>
          <w:rFonts w:ascii="Times New Roman" w:hAnsi="Times New Roman" w:cs="Times New Roman"/>
          <w:bCs/>
          <w:sz w:val="24"/>
          <w:szCs w:val="24"/>
        </w:rPr>
        <w:t>, drastično se smanjila izdašnost kontingent</w:t>
      </w:r>
      <w:r w:rsidR="00B60C23" w:rsidRPr="00C0186C">
        <w:rPr>
          <w:rFonts w:ascii="Times New Roman" w:hAnsi="Times New Roman" w:cs="Times New Roman"/>
          <w:bCs/>
          <w:sz w:val="24"/>
          <w:szCs w:val="24"/>
        </w:rPr>
        <w:t>a</w:t>
      </w:r>
      <w:r w:rsidR="00713CF1" w:rsidRPr="00C0186C">
        <w:rPr>
          <w:rFonts w:ascii="Times New Roman" w:hAnsi="Times New Roman" w:cs="Times New Roman"/>
          <w:bCs/>
          <w:sz w:val="24"/>
          <w:szCs w:val="24"/>
        </w:rPr>
        <w:t xml:space="preserve"> mladih </w:t>
      </w:r>
      <w:r w:rsidR="00B60C23" w:rsidRPr="00C0186C">
        <w:rPr>
          <w:rFonts w:ascii="Times New Roman" w:hAnsi="Times New Roman" w:cs="Times New Roman"/>
          <w:bCs/>
          <w:sz w:val="24"/>
          <w:szCs w:val="24"/>
        </w:rPr>
        <w:t>u ispodprosječno razvijenim dijelovima Republike Hrvatske</w:t>
      </w:r>
      <w:r w:rsidR="000A5428" w:rsidRPr="00C0186C">
        <w:rPr>
          <w:rFonts w:ascii="Times New Roman" w:hAnsi="Times New Roman" w:cs="Times New Roman"/>
          <w:bCs/>
          <w:sz w:val="24"/>
          <w:szCs w:val="24"/>
        </w:rPr>
        <w:t>, a</w:t>
      </w:r>
      <w:r w:rsidR="00B60C23" w:rsidRPr="00C0186C">
        <w:rPr>
          <w:rFonts w:ascii="Times New Roman" w:hAnsi="Times New Roman" w:cs="Times New Roman"/>
          <w:bCs/>
          <w:sz w:val="24"/>
          <w:szCs w:val="24"/>
        </w:rPr>
        <w:t xml:space="preserve"> koji predstavlja temeljni </w:t>
      </w:r>
      <w:r w:rsidR="00713CF1" w:rsidRPr="00C0186C">
        <w:rPr>
          <w:rFonts w:ascii="Times New Roman" w:hAnsi="Times New Roman" w:cs="Times New Roman"/>
          <w:bCs/>
          <w:sz w:val="24"/>
          <w:szCs w:val="24"/>
        </w:rPr>
        <w:t>izvor obnavljanja domicilne radne snage</w:t>
      </w:r>
      <w:r w:rsidR="00B60C23" w:rsidRPr="00C0186C">
        <w:rPr>
          <w:rFonts w:ascii="Times New Roman" w:hAnsi="Times New Roman" w:cs="Times New Roman"/>
          <w:bCs/>
          <w:sz w:val="24"/>
          <w:szCs w:val="24"/>
        </w:rPr>
        <w:t xml:space="preserve"> </w:t>
      </w:r>
      <w:r w:rsidR="000A5428" w:rsidRPr="00C0186C">
        <w:rPr>
          <w:rFonts w:ascii="Times New Roman" w:hAnsi="Times New Roman" w:cs="Times New Roman"/>
          <w:bCs/>
          <w:sz w:val="24"/>
          <w:szCs w:val="24"/>
        </w:rPr>
        <w:t>te</w:t>
      </w:r>
      <w:r w:rsidR="00B60C23" w:rsidRPr="00C0186C">
        <w:rPr>
          <w:rFonts w:ascii="Times New Roman" w:hAnsi="Times New Roman" w:cs="Times New Roman"/>
          <w:bCs/>
          <w:sz w:val="24"/>
          <w:szCs w:val="24"/>
        </w:rPr>
        <w:t xml:space="preserve"> ima ulogu ključnog pokretača i nositelja</w:t>
      </w:r>
      <w:r w:rsidR="00145E55" w:rsidRPr="00C0186C">
        <w:rPr>
          <w:rFonts w:ascii="Times New Roman" w:hAnsi="Times New Roman" w:cs="Times New Roman"/>
          <w:bCs/>
          <w:sz w:val="24"/>
          <w:szCs w:val="24"/>
        </w:rPr>
        <w:t xml:space="preserve"> budućih</w:t>
      </w:r>
      <w:r w:rsidR="00B60C23" w:rsidRPr="00C0186C">
        <w:rPr>
          <w:rFonts w:ascii="Times New Roman" w:hAnsi="Times New Roman" w:cs="Times New Roman"/>
          <w:bCs/>
          <w:sz w:val="24"/>
          <w:szCs w:val="24"/>
        </w:rPr>
        <w:t xml:space="preserve"> razvojnih promjena u društvu i gospodarstvu.</w:t>
      </w:r>
      <w:r w:rsidR="00713CF1" w:rsidRPr="00C0186C">
        <w:rPr>
          <w:rFonts w:ascii="Times New Roman" w:hAnsi="Times New Roman" w:cs="Times New Roman"/>
          <w:bCs/>
          <w:sz w:val="24"/>
          <w:szCs w:val="24"/>
        </w:rPr>
        <w:t xml:space="preserve"> </w:t>
      </w:r>
      <w:r w:rsidR="00B60C23" w:rsidRPr="00C0186C">
        <w:rPr>
          <w:rFonts w:ascii="Times New Roman" w:hAnsi="Times New Roman" w:cs="Times New Roman"/>
          <w:bCs/>
          <w:sz w:val="24"/>
          <w:szCs w:val="24"/>
        </w:rPr>
        <w:t xml:space="preserve">Budući da rezultati </w:t>
      </w:r>
      <w:r w:rsidR="000B0FA2" w:rsidRPr="00C0186C">
        <w:rPr>
          <w:rFonts w:ascii="Times New Roman" w:hAnsi="Times New Roman" w:cs="Times New Roman"/>
          <w:bCs/>
          <w:sz w:val="24"/>
          <w:szCs w:val="24"/>
        </w:rPr>
        <w:t xml:space="preserve">analitičkih podloga </w:t>
      </w:r>
      <w:r w:rsidR="000A5428" w:rsidRPr="00C0186C">
        <w:rPr>
          <w:rFonts w:ascii="Times New Roman" w:hAnsi="Times New Roman" w:cs="Times New Roman"/>
          <w:bCs/>
          <w:sz w:val="24"/>
          <w:szCs w:val="24"/>
        </w:rPr>
        <w:t xml:space="preserve">ukazuju kako </w:t>
      </w:r>
      <w:r w:rsidR="00145E55" w:rsidRPr="00C0186C">
        <w:rPr>
          <w:rFonts w:ascii="Times New Roman" w:hAnsi="Times New Roman" w:cs="Times New Roman"/>
          <w:bCs/>
          <w:sz w:val="24"/>
          <w:szCs w:val="24"/>
        </w:rPr>
        <w:t>trenutni</w:t>
      </w:r>
      <w:r w:rsidR="000A5428" w:rsidRPr="00C0186C">
        <w:rPr>
          <w:rFonts w:ascii="Times New Roman" w:hAnsi="Times New Roman" w:cs="Times New Roman"/>
          <w:bCs/>
          <w:sz w:val="24"/>
          <w:szCs w:val="24"/>
        </w:rPr>
        <w:t xml:space="preserve"> životn</w:t>
      </w:r>
      <w:r w:rsidR="00145E55" w:rsidRPr="00C0186C">
        <w:rPr>
          <w:rFonts w:ascii="Times New Roman" w:hAnsi="Times New Roman" w:cs="Times New Roman"/>
          <w:bCs/>
          <w:sz w:val="24"/>
          <w:szCs w:val="24"/>
        </w:rPr>
        <w:t>i uvjeti i</w:t>
      </w:r>
      <w:r w:rsidR="000A5428" w:rsidRPr="00C0186C">
        <w:rPr>
          <w:rFonts w:ascii="Times New Roman" w:hAnsi="Times New Roman" w:cs="Times New Roman"/>
          <w:bCs/>
          <w:sz w:val="24"/>
          <w:szCs w:val="24"/>
        </w:rPr>
        <w:t xml:space="preserve"> prilike u potpomognutim područjima nisu dovoljno motivirajuć</w:t>
      </w:r>
      <w:r w:rsidR="00145E55" w:rsidRPr="00C0186C">
        <w:rPr>
          <w:rFonts w:ascii="Times New Roman" w:hAnsi="Times New Roman" w:cs="Times New Roman"/>
          <w:bCs/>
          <w:sz w:val="24"/>
          <w:szCs w:val="24"/>
        </w:rPr>
        <w:t>i</w:t>
      </w:r>
      <w:r w:rsidR="000A5428" w:rsidRPr="00C0186C">
        <w:rPr>
          <w:rFonts w:ascii="Times New Roman" w:hAnsi="Times New Roman" w:cs="Times New Roman"/>
          <w:bCs/>
          <w:sz w:val="24"/>
          <w:szCs w:val="24"/>
        </w:rPr>
        <w:t xml:space="preserve"> za </w:t>
      </w:r>
      <w:r w:rsidR="000B0FA2" w:rsidRPr="00C0186C">
        <w:rPr>
          <w:rFonts w:ascii="Times New Roman" w:hAnsi="Times New Roman" w:cs="Times New Roman"/>
          <w:bCs/>
          <w:sz w:val="24"/>
          <w:szCs w:val="24"/>
        </w:rPr>
        <w:t>zasnivanje ili povećanje obitelji novorođenom djecom</w:t>
      </w:r>
      <w:r w:rsidR="000A5428" w:rsidRPr="00C0186C">
        <w:rPr>
          <w:rFonts w:ascii="Times New Roman" w:hAnsi="Times New Roman" w:cs="Times New Roman"/>
          <w:bCs/>
          <w:sz w:val="24"/>
          <w:szCs w:val="24"/>
        </w:rPr>
        <w:t>, ovom mjerom</w:t>
      </w:r>
      <w:r w:rsidR="00335576" w:rsidRPr="00C0186C">
        <w:rPr>
          <w:rFonts w:ascii="Times New Roman" w:hAnsi="Times New Roman" w:cs="Times New Roman"/>
          <w:bCs/>
          <w:sz w:val="24"/>
          <w:szCs w:val="24"/>
        </w:rPr>
        <w:t xml:space="preserve"> želi se, uz već postojeće pronatalitetne politike koje se provode na višim i nižim teritorijalnim razinama, </w:t>
      </w:r>
      <w:r w:rsidR="000A5428" w:rsidRPr="00C0186C">
        <w:rPr>
          <w:rFonts w:ascii="Times New Roman" w:hAnsi="Times New Roman" w:cs="Times New Roman"/>
          <w:bCs/>
          <w:sz w:val="24"/>
          <w:szCs w:val="24"/>
        </w:rPr>
        <w:t xml:space="preserve">dodatno </w:t>
      </w:r>
      <w:r w:rsidR="00145E55" w:rsidRPr="00C0186C">
        <w:rPr>
          <w:rFonts w:ascii="Times New Roman" w:hAnsi="Times New Roman" w:cs="Times New Roman"/>
          <w:bCs/>
          <w:sz w:val="24"/>
          <w:szCs w:val="24"/>
        </w:rPr>
        <w:t>utjecati na</w:t>
      </w:r>
      <w:r w:rsidR="000A5428" w:rsidRPr="00C0186C">
        <w:rPr>
          <w:rFonts w:ascii="Times New Roman" w:hAnsi="Times New Roman" w:cs="Times New Roman"/>
          <w:bCs/>
          <w:sz w:val="24"/>
          <w:szCs w:val="24"/>
        </w:rPr>
        <w:t xml:space="preserve"> povećanje nataliteta </w:t>
      </w:r>
      <w:r w:rsidR="00145E55" w:rsidRPr="00C0186C">
        <w:rPr>
          <w:rFonts w:ascii="Times New Roman" w:hAnsi="Times New Roman" w:cs="Times New Roman"/>
          <w:bCs/>
          <w:sz w:val="24"/>
          <w:szCs w:val="24"/>
        </w:rPr>
        <w:t>i prirodnog prirasta stanovništva</w:t>
      </w:r>
      <w:r w:rsidR="00335576" w:rsidRPr="00C0186C">
        <w:rPr>
          <w:rFonts w:ascii="Times New Roman" w:hAnsi="Times New Roman" w:cs="Times New Roman"/>
          <w:bCs/>
          <w:sz w:val="24"/>
          <w:szCs w:val="24"/>
        </w:rPr>
        <w:t xml:space="preserve"> u potpomognutim područjima. Polazeći od toga</w:t>
      </w:r>
      <w:r w:rsidR="000A5428" w:rsidRPr="00C0186C">
        <w:rPr>
          <w:rFonts w:ascii="Times New Roman" w:hAnsi="Times New Roman" w:cs="Times New Roman"/>
          <w:bCs/>
          <w:sz w:val="24"/>
          <w:szCs w:val="24"/>
        </w:rPr>
        <w:t xml:space="preserve"> da</w:t>
      </w:r>
      <w:r w:rsidR="00335576" w:rsidRPr="00C0186C">
        <w:rPr>
          <w:rFonts w:ascii="Times New Roman" w:hAnsi="Times New Roman" w:cs="Times New Roman"/>
          <w:bCs/>
          <w:sz w:val="24"/>
          <w:szCs w:val="24"/>
        </w:rPr>
        <w:t xml:space="preserve"> </w:t>
      </w:r>
      <w:r w:rsidR="004A096F" w:rsidRPr="00C0186C">
        <w:rPr>
          <w:rFonts w:ascii="Times New Roman" w:hAnsi="Times New Roman" w:cs="Times New Roman"/>
          <w:bCs/>
          <w:sz w:val="24"/>
          <w:szCs w:val="24"/>
        </w:rPr>
        <w:t xml:space="preserve">mogućnosti i stanje raspoloživih </w:t>
      </w:r>
      <w:r w:rsidR="00335576" w:rsidRPr="00C0186C">
        <w:rPr>
          <w:rFonts w:ascii="Times New Roman" w:hAnsi="Times New Roman" w:cs="Times New Roman"/>
          <w:bCs/>
          <w:sz w:val="24"/>
          <w:szCs w:val="24"/>
        </w:rPr>
        <w:t>kapacitet</w:t>
      </w:r>
      <w:r w:rsidR="004A096F" w:rsidRPr="00C0186C">
        <w:rPr>
          <w:rFonts w:ascii="Times New Roman" w:hAnsi="Times New Roman" w:cs="Times New Roman"/>
          <w:bCs/>
          <w:sz w:val="24"/>
          <w:szCs w:val="24"/>
        </w:rPr>
        <w:t>a</w:t>
      </w:r>
      <w:r w:rsidR="00335576" w:rsidRPr="00C0186C">
        <w:rPr>
          <w:rFonts w:ascii="Times New Roman" w:hAnsi="Times New Roman" w:cs="Times New Roman"/>
          <w:bCs/>
          <w:sz w:val="24"/>
          <w:szCs w:val="24"/>
        </w:rPr>
        <w:t xml:space="preserve"> za odgoj, obrazovanje i brigu o djeci</w:t>
      </w:r>
      <w:r w:rsidR="004A096F" w:rsidRPr="00C0186C">
        <w:rPr>
          <w:rFonts w:ascii="Times New Roman" w:hAnsi="Times New Roman" w:cs="Times New Roman"/>
          <w:bCs/>
          <w:sz w:val="24"/>
          <w:szCs w:val="24"/>
        </w:rPr>
        <w:t xml:space="preserve"> čine važan čimbenik u donošenju odluka o rađanju i odgoju djece, ali i</w:t>
      </w:r>
      <w:r w:rsidR="00DE11B9" w:rsidRPr="00C0186C">
        <w:rPr>
          <w:rFonts w:ascii="Times New Roman" w:hAnsi="Times New Roman" w:cs="Times New Roman"/>
          <w:bCs/>
          <w:sz w:val="24"/>
          <w:szCs w:val="24"/>
        </w:rPr>
        <w:t xml:space="preserve"> kod</w:t>
      </w:r>
      <w:r w:rsidR="004A096F" w:rsidRPr="00C0186C">
        <w:rPr>
          <w:rFonts w:ascii="Times New Roman" w:hAnsi="Times New Roman" w:cs="Times New Roman"/>
          <w:bCs/>
          <w:sz w:val="24"/>
          <w:szCs w:val="24"/>
        </w:rPr>
        <w:t xml:space="preserve"> planiranj</w:t>
      </w:r>
      <w:r w:rsidR="00DE11B9" w:rsidRPr="00C0186C">
        <w:rPr>
          <w:rFonts w:ascii="Times New Roman" w:hAnsi="Times New Roman" w:cs="Times New Roman"/>
          <w:bCs/>
          <w:sz w:val="24"/>
          <w:szCs w:val="24"/>
        </w:rPr>
        <w:t>a</w:t>
      </w:r>
      <w:r w:rsidR="004A096F" w:rsidRPr="00C0186C">
        <w:rPr>
          <w:rFonts w:ascii="Times New Roman" w:hAnsi="Times New Roman" w:cs="Times New Roman"/>
          <w:bCs/>
          <w:sz w:val="24"/>
          <w:szCs w:val="24"/>
        </w:rPr>
        <w:t xml:space="preserve"> i usklađivanj</w:t>
      </w:r>
      <w:r w:rsidR="00DE11B9" w:rsidRPr="00C0186C">
        <w:rPr>
          <w:rFonts w:ascii="Times New Roman" w:hAnsi="Times New Roman" w:cs="Times New Roman"/>
          <w:bCs/>
          <w:sz w:val="24"/>
          <w:szCs w:val="24"/>
        </w:rPr>
        <w:t xml:space="preserve">a </w:t>
      </w:r>
      <w:r w:rsidR="000A5428" w:rsidRPr="00C0186C">
        <w:rPr>
          <w:rFonts w:ascii="Times New Roman" w:hAnsi="Times New Roman" w:cs="Times New Roman"/>
          <w:bCs/>
          <w:sz w:val="24"/>
          <w:szCs w:val="24"/>
        </w:rPr>
        <w:t>obiteljskog i profesionalnog života roditelja djece rane i predškolske dobi</w:t>
      </w:r>
      <w:r w:rsidR="004A096F" w:rsidRPr="00C0186C">
        <w:rPr>
          <w:rFonts w:ascii="Times New Roman" w:hAnsi="Times New Roman" w:cs="Times New Roman"/>
          <w:bCs/>
          <w:sz w:val="24"/>
          <w:szCs w:val="24"/>
        </w:rPr>
        <w:t>,</w:t>
      </w:r>
      <w:r w:rsidR="004A096F" w:rsidRPr="00C0186C">
        <w:rPr>
          <w:rFonts w:ascii="Times New Roman" w:hAnsi="Times New Roman" w:cs="Times New Roman"/>
          <w:b/>
          <w:bCs/>
          <w:sz w:val="24"/>
          <w:szCs w:val="24"/>
        </w:rPr>
        <w:t xml:space="preserve"> </w:t>
      </w:r>
      <w:r w:rsidR="00567D93" w:rsidRPr="00C0186C">
        <w:rPr>
          <w:rFonts w:ascii="Times New Roman" w:hAnsi="Times New Roman" w:cs="Times New Roman"/>
          <w:bCs/>
          <w:sz w:val="24"/>
          <w:szCs w:val="24"/>
        </w:rPr>
        <w:t>kroz ovu mjeru</w:t>
      </w:r>
      <w:r w:rsidR="00567D93" w:rsidRPr="00C0186C">
        <w:rPr>
          <w:rFonts w:ascii="Times New Roman" w:hAnsi="Times New Roman" w:cs="Times New Roman"/>
          <w:b/>
          <w:bCs/>
          <w:sz w:val="24"/>
          <w:szCs w:val="24"/>
        </w:rPr>
        <w:t xml:space="preserve"> </w:t>
      </w:r>
      <w:r w:rsidR="002063BF" w:rsidRPr="00C0186C">
        <w:rPr>
          <w:rFonts w:ascii="Times New Roman" w:hAnsi="Times New Roman" w:cs="Times New Roman"/>
          <w:bCs/>
          <w:sz w:val="24"/>
          <w:szCs w:val="24"/>
        </w:rPr>
        <w:t xml:space="preserve">sufinancirat će se projekti i aktivnosti koji se odnose na zadovoljavanje javnih potreba i provođenje programa </w:t>
      </w:r>
      <w:r w:rsidR="00567D93" w:rsidRPr="00C0186C">
        <w:rPr>
          <w:rFonts w:ascii="Times New Roman" w:hAnsi="Times New Roman" w:cs="Times New Roman"/>
          <w:bCs/>
          <w:sz w:val="24"/>
          <w:szCs w:val="24"/>
        </w:rPr>
        <w:t>u odgoju</w:t>
      </w:r>
      <w:r w:rsidR="00DE11B9" w:rsidRPr="00C0186C">
        <w:rPr>
          <w:rFonts w:ascii="Times New Roman" w:hAnsi="Times New Roman" w:cs="Times New Roman"/>
          <w:bCs/>
          <w:sz w:val="24"/>
          <w:szCs w:val="24"/>
        </w:rPr>
        <w:t xml:space="preserve">, </w:t>
      </w:r>
      <w:r w:rsidR="00567D93" w:rsidRPr="00C0186C">
        <w:rPr>
          <w:rFonts w:ascii="Times New Roman" w:hAnsi="Times New Roman" w:cs="Times New Roman"/>
          <w:bCs/>
          <w:sz w:val="24"/>
          <w:szCs w:val="24"/>
        </w:rPr>
        <w:t xml:space="preserve">obrazovanju </w:t>
      </w:r>
      <w:r w:rsidR="00DE11B9" w:rsidRPr="00C0186C">
        <w:rPr>
          <w:rFonts w:ascii="Times New Roman" w:hAnsi="Times New Roman" w:cs="Times New Roman"/>
          <w:bCs/>
          <w:sz w:val="24"/>
          <w:szCs w:val="24"/>
        </w:rPr>
        <w:t xml:space="preserve">i </w:t>
      </w:r>
      <w:r w:rsidR="00567D93" w:rsidRPr="00C0186C">
        <w:rPr>
          <w:rFonts w:ascii="Times New Roman" w:hAnsi="Times New Roman" w:cs="Times New Roman"/>
          <w:bCs/>
          <w:sz w:val="24"/>
          <w:szCs w:val="24"/>
        </w:rPr>
        <w:t>skrbi o djeci rane i predškolske dobi</w:t>
      </w:r>
      <w:r w:rsidR="002063BF" w:rsidRPr="00C0186C">
        <w:rPr>
          <w:rFonts w:ascii="Times New Roman" w:hAnsi="Times New Roman" w:cs="Times New Roman"/>
          <w:bCs/>
          <w:sz w:val="24"/>
          <w:szCs w:val="24"/>
        </w:rPr>
        <w:t>.</w:t>
      </w:r>
      <w:r w:rsidR="002063BF" w:rsidRPr="00C0186C">
        <w:rPr>
          <w:rFonts w:ascii="Times New Roman" w:hAnsi="Times New Roman" w:cs="Times New Roman"/>
          <w:b/>
          <w:bCs/>
          <w:sz w:val="24"/>
          <w:szCs w:val="24"/>
        </w:rPr>
        <w:t xml:space="preserve"> </w:t>
      </w:r>
      <w:r w:rsidR="00722573" w:rsidRPr="00C0186C">
        <w:rPr>
          <w:rFonts w:ascii="Times New Roman" w:hAnsi="Times New Roman" w:cs="Times New Roman"/>
          <w:bCs/>
          <w:sz w:val="24"/>
          <w:szCs w:val="24"/>
        </w:rPr>
        <w:t>Time se želi</w:t>
      </w:r>
      <w:r w:rsidR="000A5428" w:rsidRPr="00C0186C">
        <w:rPr>
          <w:rFonts w:ascii="Times New Roman" w:hAnsi="Times New Roman" w:cs="Times New Roman"/>
          <w:bCs/>
          <w:sz w:val="24"/>
          <w:szCs w:val="24"/>
        </w:rPr>
        <w:t xml:space="preserve"> </w:t>
      </w:r>
      <w:r w:rsidR="002063BF" w:rsidRPr="00C0186C">
        <w:rPr>
          <w:rFonts w:ascii="Times New Roman" w:hAnsi="Times New Roman" w:cs="Times New Roman"/>
          <w:bCs/>
          <w:sz w:val="24"/>
          <w:szCs w:val="24"/>
        </w:rPr>
        <w:t xml:space="preserve">povećati razina dostupnosti i standard kvalitete raznolikih predškolskih usluga </w:t>
      </w:r>
      <w:r w:rsidR="00DE11B9" w:rsidRPr="00C0186C">
        <w:rPr>
          <w:rFonts w:ascii="Times New Roman" w:hAnsi="Times New Roman" w:cs="Times New Roman"/>
          <w:bCs/>
          <w:sz w:val="24"/>
          <w:szCs w:val="24"/>
        </w:rPr>
        <w:t>u potpomognutim područjima na</w:t>
      </w:r>
      <w:r w:rsidR="002063BF" w:rsidRPr="00C0186C">
        <w:rPr>
          <w:rFonts w:ascii="Times New Roman" w:hAnsi="Times New Roman" w:cs="Times New Roman"/>
          <w:bCs/>
          <w:sz w:val="24"/>
          <w:szCs w:val="24"/>
        </w:rPr>
        <w:t xml:space="preserve"> korist djece i njihovih roditelja</w:t>
      </w:r>
      <w:r w:rsidR="00DE11B9" w:rsidRPr="00C0186C">
        <w:rPr>
          <w:rFonts w:ascii="Times New Roman" w:hAnsi="Times New Roman" w:cs="Times New Roman"/>
          <w:bCs/>
          <w:sz w:val="24"/>
          <w:szCs w:val="24"/>
        </w:rPr>
        <w:t>.</w:t>
      </w:r>
      <w:r w:rsidR="002063BF" w:rsidRPr="00C0186C">
        <w:rPr>
          <w:rFonts w:ascii="Times New Roman" w:hAnsi="Times New Roman" w:cs="Times New Roman"/>
          <w:bCs/>
          <w:sz w:val="24"/>
          <w:szCs w:val="24"/>
        </w:rPr>
        <w:t xml:space="preserve"> </w:t>
      </w:r>
      <w:r w:rsidR="00DC6F8E" w:rsidRPr="00C0186C">
        <w:rPr>
          <w:rFonts w:ascii="Times New Roman" w:hAnsi="Times New Roman" w:cs="Times New Roman"/>
          <w:bCs/>
          <w:sz w:val="24"/>
          <w:szCs w:val="24"/>
        </w:rPr>
        <w:t>S druge strane,</w:t>
      </w:r>
      <w:r w:rsidR="00653D47" w:rsidRPr="00C0186C">
        <w:rPr>
          <w:rFonts w:ascii="Times New Roman" w:hAnsi="Times New Roman" w:cs="Times New Roman"/>
          <w:bCs/>
          <w:sz w:val="24"/>
          <w:szCs w:val="24"/>
        </w:rPr>
        <w:t xml:space="preserve"> </w:t>
      </w:r>
      <w:r w:rsidR="006078FC" w:rsidRPr="00C0186C">
        <w:rPr>
          <w:rFonts w:ascii="Times New Roman" w:hAnsi="Times New Roman" w:cs="Times New Roman"/>
          <w:bCs/>
          <w:sz w:val="24"/>
          <w:szCs w:val="24"/>
        </w:rPr>
        <w:t xml:space="preserve">ovom mjerom osigurat će se dodatna </w:t>
      </w:r>
      <w:r w:rsidR="00653D47" w:rsidRPr="00C0186C">
        <w:rPr>
          <w:rFonts w:ascii="Times New Roman" w:hAnsi="Times New Roman" w:cs="Times New Roman"/>
          <w:bCs/>
          <w:sz w:val="24"/>
          <w:szCs w:val="24"/>
        </w:rPr>
        <w:t>financijsk</w:t>
      </w:r>
      <w:r w:rsidR="006078FC" w:rsidRPr="00C0186C">
        <w:rPr>
          <w:rFonts w:ascii="Times New Roman" w:hAnsi="Times New Roman" w:cs="Times New Roman"/>
          <w:bCs/>
          <w:sz w:val="24"/>
          <w:szCs w:val="24"/>
        </w:rPr>
        <w:t>a</w:t>
      </w:r>
      <w:r w:rsidR="00653D47" w:rsidRPr="00C0186C">
        <w:rPr>
          <w:rFonts w:ascii="Times New Roman" w:hAnsi="Times New Roman" w:cs="Times New Roman"/>
          <w:bCs/>
          <w:sz w:val="24"/>
          <w:szCs w:val="24"/>
        </w:rPr>
        <w:t xml:space="preserve"> potpor</w:t>
      </w:r>
      <w:r w:rsidR="006078FC" w:rsidRPr="00C0186C">
        <w:rPr>
          <w:rFonts w:ascii="Times New Roman" w:hAnsi="Times New Roman" w:cs="Times New Roman"/>
          <w:bCs/>
          <w:sz w:val="24"/>
          <w:szCs w:val="24"/>
        </w:rPr>
        <w:t xml:space="preserve">a aktivnostima i instrumentima koji se provode u okviru već postojećih pronatalitetnih mjera i politika u potpomognutim područjima, </w:t>
      </w:r>
      <w:r w:rsidR="00634B25" w:rsidRPr="00C0186C">
        <w:rPr>
          <w:rFonts w:ascii="Times New Roman" w:hAnsi="Times New Roman" w:cs="Times New Roman"/>
          <w:bCs/>
          <w:sz w:val="24"/>
          <w:szCs w:val="24"/>
        </w:rPr>
        <w:t xml:space="preserve">s posebnim naglaskom na mjere </w:t>
      </w:r>
      <w:r w:rsidR="00215DFC" w:rsidRPr="00C0186C">
        <w:rPr>
          <w:rFonts w:ascii="Times New Roman" w:hAnsi="Times New Roman" w:cs="Times New Roman"/>
          <w:bCs/>
          <w:sz w:val="24"/>
          <w:szCs w:val="24"/>
        </w:rPr>
        <w:t xml:space="preserve">po osnovi roditeljstva i roditeljskog dopusta </w:t>
      </w:r>
      <w:r w:rsidR="006078FC" w:rsidRPr="00C0186C">
        <w:rPr>
          <w:rFonts w:ascii="Times New Roman" w:hAnsi="Times New Roman" w:cs="Times New Roman"/>
          <w:bCs/>
          <w:sz w:val="24"/>
          <w:szCs w:val="24"/>
        </w:rPr>
        <w:t xml:space="preserve">čiji su </w:t>
      </w:r>
      <w:r w:rsidR="00215DFC" w:rsidRPr="00C0186C">
        <w:rPr>
          <w:rFonts w:ascii="Times New Roman" w:hAnsi="Times New Roman" w:cs="Times New Roman"/>
          <w:bCs/>
          <w:sz w:val="24"/>
          <w:szCs w:val="24"/>
        </w:rPr>
        <w:t xml:space="preserve">kreatori i </w:t>
      </w:r>
      <w:r w:rsidR="006078FC" w:rsidRPr="00C0186C">
        <w:rPr>
          <w:rFonts w:ascii="Times New Roman" w:hAnsi="Times New Roman" w:cs="Times New Roman"/>
          <w:bCs/>
          <w:sz w:val="24"/>
          <w:szCs w:val="24"/>
        </w:rPr>
        <w:t xml:space="preserve">nositelji </w:t>
      </w:r>
      <w:r w:rsidR="00215DFC" w:rsidRPr="00C0186C">
        <w:rPr>
          <w:rFonts w:ascii="Times New Roman" w:hAnsi="Times New Roman" w:cs="Times New Roman"/>
          <w:bCs/>
          <w:sz w:val="24"/>
          <w:szCs w:val="24"/>
        </w:rPr>
        <w:t xml:space="preserve">same </w:t>
      </w:r>
      <w:r w:rsidR="00293D81" w:rsidRPr="00C0186C">
        <w:rPr>
          <w:rFonts w:ascii="Times New Roman" w:hAnsi="Times New Roman" w:cs="Times New Roman"/>
          <w:bCs/>
          <w:sz w:val="24"/>
          <w:szCs w:val="24"/>
        </w:rPr>
        <w:t>jedinice lokalne samouprave</w:t>
      </w:r>
      <w:r w:rsidR="006078FC" w:rsidRPr="00C0186C">
        <w:rPr>
          <w:rFonts w:ascii="Times New Roman" w:hAnsi="Times New Roman" w:cs="Times New Roman"/>
          <w:bCs/>
          <w:sz w:val="24"/>
          <w:szCs w:val="24"/>
        </w:rPr>
        <w:t xml:space="preserve"> sa statusom </w:t>
      </w:r>
      <w:r w:rsidR="00293D81" w:rsidRPr="00C0186C">
        <w:rPr>
          <w:rFonts w:ascii="Times New Roman" w:hAnsi="Times New Roman" w:cs="Times New Roman"/>
          <w:bCs/>
          <w:sz w:val="24"/>
          <w:szCs w:val="24"/>
        </w:rPr>
        <w:t>potpomognutog područja</w:t>
      </w:r>
      <w:r w:rsidR="00E8671F" w:rsidRPr="00C0186C">
        <w:rPr>
          <w:rFonts w:ascii="Times New Roman" w:hAnsi="Times New Roman" w:cs="Times New Roman"/>
          <w:bCs/>
          <w:sz w:val="24"/>
          <w:szCs w:val="24"/>
        </w:rPr>
        <w:t xml:space="preserve"> i njihove županije</w:t>
      </w:r>
      <w:r w:rsidR="006078FC" w:rsidRPr="00C0186C">
        <w:rPr>
          <w:rFonts w:ascii="Times New Roman" w:hAnsi="Times New Roman" w:cs="Times New Roman"/>
          <w:bCs/>
          <w:sz w:val="24"/>
          <w:szCs w:val="24"/>
        </w:rPr>
        <w:t>.</w:t>
      </w:r>
      <w:r w:rsidR="00634B25" w:rsidRPr="00C0186C">
        <w:rPr>
          <w:rFonts w:ascii="Times New Roman" w:hAnsi="Times New Roman" w:cs="Times New Roman"/>
          <w:bCs/>
          <w:sz w:val="24"/>
          <w:szCs w:val="24"/>
        </w:rPr>
        <w:t xml:space="preserve"> </w:t>
      </w:r>
      <w:r w:rsidR="00886E1D" w:rsidRPr="00C0186C">
        <w:rPr>
          <w:rFonts w:ascii="Times New Roman" w:hAnsi="Times New Roman" w:cs="Times New Roman"/>
          <w:bCs/>
          <w:sz w:val="24"/>
          <w:szCs w:val="24"/>
        </w:rPr>
        <w:t>Stoga, reali</w:t>
      </w:r>
      <w:r w:rsidR="00C618C1" w:rsidRPr="00C0186C">
        <w:rPr>
          <w:rFonts w:ascii="Times New Roman" w:hAnsi="Times New Roman" w:cs="Times New Roman"/>
          <w:bCs/>
          <w:sz w:val="24"/>
          <w:szCs w:val="24"/>
        </w:rPr>
        <w:t>zacijom ove mjere</w:t>
      </w:r>
      <w:r w:rsidR="00D1581E" w:rsidRPr="00C0186C">
        <w:rPr>
          <w:rFonts w:ascii="Times New Roman" w:hAnsi="Times New Roman" w:cs="Times New Roman"/>
          <w:bCs/>
          <w:sz w:val="24"/>
          <w:szCs w:val="24"/>
        </w:rPr>
        <w:t xml:space="preserve"> </w:t>
      </w:r>
      <w:r w:rsidR="00C618C1" w:rsidRPr="00C0186C">
        <w:rPr>
          <w:rFonts w:ascii="Times New Roman" w:hAnsi="Times New Roman" w:cs="Times New Roman"/>
          <w:bCs/>
          <w:sz w:val="24"/>
          <w:szCs w:val="24"/>
        </w:rPr>
        <w:t xml:space="preserve">pospješit će se </w:t>
      </w:r>
      <w:r w:rsidR="00E8671F" w:rsidRPr="00C0186C">
        <w:rPr>
          <w:rFonts w:ascii="Times New Roman" w:hAnsi="Times New Roman" w:cs="Times New Roman"/>
          <w:bCs/>
          <w:sz w:val="24"/>
          <w:szCs w:val="24"/>
        </w:rPr>
        <w:t>provedba već uvedenih pronatalitetnih politika na lokalnoj i županijskoj razini</w:t>
      </w:r>
      <w:r w:rsidR="00D1581E" w:rsidRPr="00C0186C">
        <w:rPr>
          <w:rFonts w:ascii="Times New Roman" w:hAnsi="Times New Roman" w:cs="Times New Roman"/>
          <w:bCs/>
          <w:sz w:val="24"/>
          <w:szCs w:val="24"/>
        </w:rPr>
        <w:t xml:space="preserve"> koje su kao takve prilagođene iskazanim potrebama </w:t>
      </w:r>
      <w:r w:rsidR="00781784" w:rsidRPr="00C0186C">
        <w:rPr>
          <w:rFonts w:ascii="Times New Roman" w:hAnsi="Times New Roman" w:cs="Times New Roman"/>
          <w:bCs/>
          <w:sz w:val="24"/>
          <w:szCs w:val="24"/>
        </w:rPr>
        <w:t xml:space="preserve">i preferencijama </w:t>
      </w:r>
      <w:r w:rsidR="00D1581E" w:rsidRPr="00C0186C">
        <w:rPr>
          <w:rFonts w:ascii="Times New Roman" w:hAnsi="Times New Roman" w:cs="Times New Roman"/>
          <w:bCs/>
          <w:sz w:val="24"/>
          <w:szCs w:val="24"/>
        </w:rPr>
        <w:t>stanovništva u potpomognutim područjima.</w:t>
      </w:r>
      <w:r w:rsidR="00A139EE" w:rsidRPr="00C0186C">
        <w:rPr>
          <w:rFonts w:ascii="Times New Roman" w:hAnsi="Times New Roman" w:cs="Times New Roman"/>
          <w:bCs/>
          <w:sz w:val="24"/>
          <w:szCs w:val="24"/>
        </w:rPr>
        <w:t xml:space="preserve"> S obzirom na </w:t>
      </w:r>
      <w:r w:rsidR="00755E91" w:rsidRPr="00C0186C">
        <w:rPr>
          <w:rFonts w:ascii="Times New Roman" w:hAnsi="Times New Roman" w:cs="Times New Roman"/>
          <w:bCs/>
          <w:sz w:val="24"/>
          <w:szCs w:val="24"/>
        </w:rPr>
        <w:t>predviđeni obuhvat djelovanja mjere 2.2.</w:t>
      </w:r>
      <w:r w:rsidR="00EA58E2" w:rsidRPr="00C0186C">
        <w:rPr>
          <w:rFonts w:ascii="Times New Roman" w:hAnsi="Times New Roman" w:cs="Times New Roman"/>
          <w:bCs/>
          <w:sz w:val="24"/>
          <w:szCs w:val="24"/>
        </w:rPr>
        <w:t xml:space="preserve"> i njezine očekivane ishode</w:t>
      </w:r>
      <w:r w:rsidR="00755E91" w:rsidRPr="00C0186C">
        <w:rPr>
          <w:rFonts w:ascii="Times New Roman" w:hAnsi="Times New Roman" w:cs="Times New Roman"/>
          <w:bCs/>
          <w:sz w:val="24"/>
          <w:szCs w:val="24"/>
        </w:rPr>
        <w:t>, implementacija</w:t>
      </w:r>
      <w:r w:rsidR="0058467F" w:rsidRPr="00C0186C">
        <w:rPr>
          <w:rFonts w:ascii="Times New Roman" w:hAnsi="Times New Roman" w:cs="Times New Roman"/>
          <w:bCs/>
          <w:sz w:val="24"/>
          <w:szCs w:val="24"/>
        </w:rPr>
        <w:t xml:space="preserve"> </w:t>
      </w:r>
      <w:r w:rsidR="00EA58E2" w:rsidRPr="00C0186C">
        <w:rPr>
          <w:rFonts w:ascii="Times New Roman" w:hAnsi="Times New Roman" w:cs="Times New Roman"/>
          <w:bCs/>
          <w:sz w:val="24"/>
          <w:szCs w:val="24"/>
        </w:rPr>
        <w:t xml:space="preserve">ove mjere </w:t>
      </w:r>
      <w:r w:rsidR="0058467F" w:rsidRPr="00C0186C">
        <w:rPr>
          <w:rFonts w:ascii="Times New Roman" w:hAnsi="Times New Roman" w:cs="Times New Roman"/>
          <w:bCs/>
          <w:sz w:val="24"/>
          <w:szCs w:val="24"/>
        </w:rPr>
        <w:t xml:space="preserve">temeljit će se na kombinaciji demografskih i socijalnih grupa mjera. </w:t>
      </w:r>
    </w:p>
    <w:p w14:paraId="6A35A56E" w14:textId="77777777" w:rsidR="006078FC" w:rsidRPr="00C0186C" w:rsidRDefault="006078FC" w:rsidP="00B70EE8">
      <w:pPr>
        <w:spacing w:before="0" w:after="0"/>
        <w:jc w:val="both"/>
        <w:rPr>
          <w:rFonts w:ascii="Times New Roman" w:hAnsi="Times New Roman" w:cs="Times New Roman"/>
          <w:bCs/>
          <w:sz w:val="24"/>
          <w:szCs w:val="24"/>
        </w:rPr>
      </w:pPr>
    </w:p>
    <w:p w14:paraId="3EEFA4BC" w14:textId="77777777" w:rsidR="005A13F2" w:rsidRPr="00C0186C" w:rsidRDefault="005A13F2" w:rsidP="00B70EE8">
      <w:pPr>
        <w:spacing w:before="0" w:after="0"/>
        <w:jc w:val="both"/>
        <w:rPr>
          <w:rFonts w:ascii="Times New Roman" w:eastAsia="Arial" w:hAnsi="Times New Roman" w:cs="Times New Roman"/>
          <w:color w:val="000000"/>
          <w:sz w:val="24"/>
          <w:szCs w:val="24"/>
        </w:rPr>
      </w:pPr>
      <w:bookmarkStart w:id="22" w:name="_Hlk70519130"/>
      <w:r w:rsidRPr="00DF5007">
        <w:rPr>
          <w:rFonts w:ascii="Times New Roman" w:eastAsia="Arial" w:hAnsi="Times New Roman" w:cs="Times New Roman"/>
          <w:b/>
          <w:bCs/>
          <w:sz w:val="24"/>
          <w:szCs w:val="24"/>
        </w:rPr>
        <w:t>Mjera 2.3. Ekonomska i socijalna integracija ranjivih društvenih skupina u lokalnu zajednicu</w:t>
      </w:r>
      <w:r w:rsidRPr="00C0186C">
        <w:rPr>
          <w:rFonts w:ascii="Times New Roman" w:eastAsia="Arial" w:hAnsi="Times New Roman" w:cs="Times New Roman"/>
          <w:sz w:val="24"/>
          <w:szCs w:val="24"/>
        </w:rPr>
        <w:t xml:space="preserve"> usmjerena je na prevladavanje </w:t>
      </w:r>
      <w:r w:rsidRPr="00C0186C">
        <w:rPr>
          <w:rFonts w:ascii="Times New Roman" w:eastAsia="Arial" w:hAnsi="Times New Roman" w:cs="Times New Roman"/>
          <w:color w:val="000000"/>
          <w:sz w:val="24"/>
          <w:szCs w:val="24"/>
        </w:rPr>
        <w:t xml:space="preserve">i ublažavanje višestruke deprivacije s kojima su suočene najranjivije skupine stanovništva u potpomognutim područjima, a specifično djeca, mladi i obitelji u riziku, osobe s invaliditetom, osobe s teškoćama mentalnog zdravlja, starije osobe, građani koji žive u siromaštvu. Uslijed nepovoljnih demografskih i gospodarskih trendova u potpomognutim područjima, ove skupine suočene su s povećanim rizikom od siromaštva i socijalne isključenosti (uključujući siromaštvo i prema dohotku i prema potrošnji). Nadalje, izostanak visoko obrazovanih stručnjaka i slabiji fiskalni kapaciteti dovode do manjka kvalitetnih socijalnih usluga u odnosu na razvijenija područja Hrvatske. Time se socijalna isključenost produbljuje, a dobrobit ovog dijela stanovništva značajno smanjuje. Radi izostanka socijalnih usluga, skrb se povjerava članovima obitelji (najčešće ženama) koji su radi toga isključeni s tržišta rada i općenito nemaju dostatne kapacitete da pruže neformalnu podršku. Posljedično, građani u najranjivijem položaju u potpomognutim područjima suočavaju se sa socijalnom izolacijom, neuključeni su u aktivnosti zajednice što povećava njihovu stigmatizaciju. </w:t>
      </w:r>
    </w:p>
    <w:p w14:paraId="5AD93540" w14:textId="77777777" w:rsidR="00263E48" w:rsidRDefault="00263E48" w:rsidP="00B70EE8">
      <w:pPr>
        <w:spacing w:before="0" w:after="0"/>
        <w:jc w:val="both"/>
        <w:rPr>
          <w:rFonts w:ascii="Times New Roman" w:eastAsia="Arial" w:hAnsi="Times New Roman" w:cs="Times New Roman"/>
          <w:color w:val="000000"/>
          <w:sz w:val="24"/>
          <w:szCs w:val="24"/>
        </w:rPr>
      </w:pPr>
    </w:p>
    <w:p w14:paraId="69F6716B" w14:textId="54DD1CE0" w:rsidR="00C3081C" w:rsidRPr="00C0186C" w:rsidRDefault="005A13F2" w:rsidP="00B70EE8">
      <w:pPr>
        <w:spacing w:before="0" w:after="0"/>
        <w:jc w:val="both"/>
        <w:rPr>
          <w:rFonts w:ascii="Times New Roman" w:eastAsia="Arial" w:hAnsi="Times New Roman" w:cs="Times New Roman"/>
          <w:color w:val="000000"/>
          <w:sz w:val="24"/>
          <w:szCs w:val="24"/>
        </w:rPr>
      </w:pPr>
      <w:r w:rsidRPr="00C0186C">
        <w:rPr>
          <w:rFonts w:ascii="Times New Roman" w:eastAsia="Arial" w:hAnsi="Times New Roman" w:cs="Times New Roman"/>
          <w:color w:val="000000"/>
          <w:sz w:val="24"/>
          <w:szCs w:val="24"/>
        </w:rPr>
        <w:t>Iz toga proizlazi da je u potpomognutim područjima nužno potaknuti razvoj kvalitetnih socijalnih usluga koje će pridonijeti osnaživanju, zaštiti zdravlja i dobrobiti, osiguranju kvalitetne skrbi u zajednici te uključivanje u obrazovanje i zapošljavanje kako bi se smanjile društvene nejednakosti. Dodatno, važno je potaknuti programe uključivanja u život zajednice kako bi se smanjila stigmatizacija i segregacija ranjivih društvenih skupina u potpomognutim područjima. U tu svrhu, ovom mjerom pružit će se financijska potpora aktivnostima, projektima i programima koji će olakšati pristup i korištenje socijalnih i zdravstvenih usluga koje su važne za socijalno uključivanje i dobrobit</w:t>
      </w:r>
      <w:r w:rsidRPr="006C4249">
        <w:rPr>
          <w:rFonts w:ascii="Times New Roman" w:eastAsia="Arial" w:hAnsi="Times New Roman" w:cs="Times New Roman"/>
          <w:color w:val="000000"/>
          <w:sz w:val="24"/>
          <w:szCs w:val="24"/>
        </w:rPr>
        <w:t xml:space="preserve">. To se odnosi na usluge smještaja, skrbi u zajednici, programe </w:t>
      </w:r>
      <w:r w:rsidR="00A226C9" w:rsidRPr="006C4249">
        <w:rPr>
          <w:rFonts w:ascii="Times New Roman" w:eastAsia="Arial" w:hAnsi="Times New Roman" w:cs="Times New Roman"/>
          <w:color w:val="000000"/>
          <w:sz w:val="24"/>
          <w:szCs w:val="24"/>
        </w:rPr>
        <w:t>socijalnog</w:t>
      </w:r>
      <w:r w:rsidRPr="006C4249">
        <w:rPr>
          <w:rFonts w:ascii="Times New Roman" w:eastAsia="Arial" w:hAnsi="Times New Roman" w:cs="Times New Roman"/>
          <w:color w:val="000000"/>
          <w:sz w:val="24"/>
          <w:szCs w:val="24"/>
        </w:rPr>
        <w:t xml:space="preserve"> uključivanja</w:t>
      </w:r>
      <w:r w:rsidRPr="00C0186C">
        <w:rPr>
          <w:rFonts w:ascii="Times New Roman" w:eastAsia="Arial" w:hAnsi="Times New Roman" w:cs="Times New Roman"/>
          <w:color w:val="000000"/>
          <w:sz w:val="24"/>
          <w:szCs w:val="24"/>
        </w:rPr>
        <w:t xml:space="preserve"> i radne aktivacije, uključivanja u obrazovne programe te usluge namijenjene osobnom osnaživanju i povećanju kvalitete života. </w:t>
      </w:r>
      <w:r w:rsidRPr="00C0186C">
        <w:rPr>
          <w:rFonts w:ascii="Times New Roman" w:eastAsia="Arial" w:hAnsi="Times New Roman" w:cs="Times New Roman"/>
          <w:color w:val="000000"/>
          <w:sz w:val="24"/>
          <w:szCs w:val="24"/>
        </w:rPr>
        <w:br/>
        <w:t>Imajući u vidu manjak financijskih i ljudskih resursa te prometnu nedostupnost usluga, posebno će se poticati inovat</w:t>
      </w:r>
      <w:r w:rsidR="00A226C9" w:rsidRPr="00C0186C">
        <w:rPr>
          <w:rFonts w:ascii="Times New Roman" w:eastAsia="Arial" w:hAnsi="Times New Roman" w:cs="Times New Roman"/>
          <w:color w:val="000000"/>
          <w:sz w:val="24"/>
          <w:szCs w:val="24"/>
        </w:rPr>
        <w:t>iv</w:t>
      </w:r>
      <w:r w:rsidRPr="00C0186C">
        <w:rPr>
          <w:rFonts w:ascii="Times New Roman" w:eastAsia="Arial" w:hAnsi="Times New Roman" w:cs="Times New Roman"/>
          <w:color w:val="000000"/>
          <w:sz w:val="24"/>
          <w:szCs w:val="24"/>
        </w:rPr>
        <w:t>ni modeli pružanja socijalnih i zdravstvenih usluga koje uključuju multifunkcionalne centre za pružanje usluga u zajednici, socijalne i zdravstvene usluge na daljinu, mobilne socijalne i zdravstvene usluge ili socijalne i zdravstvene usluge u dislociranim prostorima. Navedeno uključuje i poticaje izgradnji nove i modernizaciji postojeće socijalne infrastrukture (primjerice povećanje smještajnih kapaciteta, izgradnja multifunkcionalnih centara u zajednici, tehnološko kapacitiranje pružatelja usluga, opremanje specijaliziranih vozila i drugo). Osim toga, ovom mjerom osigurat će se financijska potpora projektima, programima i aktivnostima koji povećavaju mogućnosti za zdrav život i angažman ranjivih skupina u lokalnim zajednicama, neovisno o prirodi i području njihovog angažmana. To može uključivati sudjelovanje na tržištu rada, u volonterskim aktivnostima ili drugim organiziranim aktivnostima u zajednici. Sukladno tome, ova mjera realizirat će se temeljem socijalnih i gospodarskih grupa mjera.</w:t>
      </w:r>
    </w:p>
    <w:p w14:paraId="1A6DA9A1" w14:textId="77777777" w:rsidR="005A13F2" w:rsidRPr="00C0186C" w:rsidRDefault="005A13F2" w:rsidP="00B70EE8">
      <w:pPr>
        <w:spacing w:before="0" w:after="0"/>
        <w:jc w:val="both"/>
        <w:rPr>
          <w:rFonts w:ascii="Times New Roman" w:eastAsia="Arial" w:hAnsi="Times New Roman" w:cs="Times New Roman"/>
          <w:color w:val="000000"/>
          <w:sz w:val="22"/>
          <w:szCs w:val="22"/>
        </w:rPr>
      </w:pPr>
    </w:p>
    <w:p w14:paraId="2E69FF26" w14:textId="77777777" w:rsidR="0083583A" w:rsidRPr="00C0186C" w:rsidRDefault="00F1644E" w:rsidP="00B70EE8">
      <w:pPr>
        <w:pStyle w:val="Heading2"/>
        <w:spacing w:before="0"/>
        <w:rPr>
          <w:rFonts w:ascii="Times New Roman" w:hAnsi="Times New Roman" w:cs="Times New Roman"/>
          <w:b/>
          <w:bCs/>
          <w:sz w:val="24"/>
          <w:szCs w:val="24"/>
        </w:rPr>
      </w:pPr>
      <w:bookmarkStart w:id="23" w:name="_Toc95891864"/>
      <w:r w:rsidRPr="00C0186C">
        <w:rPr>
          <w:rFonts w:ascii="Times New Roman" w:hAnsi="Times New Roman" w:cs="Times New Roman"/>
          <w:b/>
          <w:bCs/>
          <w:sz w:val="24"/>
          <w:szCs w:val="24"/>
        </w:rPr>
        <w:t xml:space="preserve">5.2. </w:t>
      </w:r>
      <w:r w:rsidRPr="00C0186C">
        <w:rPr>
          <w:rStyle w:val="Heading2Char"/>
          <w:rFonts w:ascii="Times New Roman" w:hAnsi="Times New Roman" w:cs="Times New Roman"/>
          <w:b/>
          <w:bCs/>
          <w:sz w:val="24"/>
          <w:szCs w:val="24"/>
        </w:rPr>
        <w:t xml:space="preserve">AKTIVNOSTI I </w:t>
      </w:r>
      <w:r w:rsidR="0083583A" w:rsidRPr="00C0186C">
        <w:rPr>
          <w:rStyle w:val="Heading2Char"/>
          <w:rFonts w:ascii="Times New Roman" w:hAnsi="Times New Roman" w:cs="Times New Roman"/>
          <w:b/>
          <w:bCs/>
          <w:sz w:val="24"/>
          <w:szCs w:val="24"/>
        </w:rPr>
        <w:t>PROJEKTI</w:t>
      </w:r>
      <w:bookmarkEnd w:id="23"/>
      <w:r w:rsidR="0083583A" w:rsidRPr="00C0186C">
        <w:rPr>
          <w:rFonts w:ascii="Times New Roman" w:hAnsi="Times New Roman" w:cs="Times New Roman"/>
          <w:b/>
          <w:bCs/>
          <w:sz w:val="24"/>
          <w:szCs w:val="24"/>
        </w:rPr>
        <w:t xml:space="preserve"> </w:t>
      </w:r>
    </w:p>
    <w:p w14:paraId="336E1026" w14:textId="77777777" w:rsidR="00347613" w:rsidRPr="00263E48" w:rsidRDefault="00347613" w:rsidP="00B70EE8">
      <w:pPr>
        <w:spacing w:before="0" w:after="0"/>
        <w:jc w:val="both"/>
        <w:rPr>
          <w:rFonts w:ascii="Times New Roman" w:hAnsi="Times New Roman" w:cs="Times New Roman"/>
          <w:sz w:val="24"/>
          <w:szCs w:val="24"/>
        </w:rPr>
      </w:pPr>
    </w:p>
    <w:p w14:paraId="206E5640" w14:textId="17FCA687" w:rsidR="006C67A1" w:rsidRPr="00C0186C" w:rsidRDefault="0083583A"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U ovom su poglavlju prikazane grupe aktivnosti/projekata za svaku</w:t>
      </w:r>
      <w:r w:rsidR="00172FDD" w:rsidRPr="00C0186C">
        <w:rPr>
          <w:rFonts w:ascii="Times New Roman" w:hAnsi="Times New Roman" w:cs="Times New Roman"/>
          <w:sz w:val="24"/>
          <w:szCs w:val="24"/>
        </w:rPr>
        <w:t xml:space="preserve"> od navedenih mjera (tablica 6</w:t>
      </w:r>
      <w:r w:rsidRPr="00C0186C">
        <w:rPr>
          <w:rFonts w:ascii="Times New Roman" w:hAnsi="Times New Roman" w:cs="Times New Roman"/>
          <w:sz w:val="24"/>
          <w:szCs w:val="24"/>
        </w:rPr>
        <w:t>.). Osim predloženih aktivnosti, s obzirom na već navedeni kriterij šireg obuhvata, nositelj izrade i koordinacije ovog Programa, može u okviru godišnj</w:t>
      </w:r>
      <w:r w:rsidR="003E5CDC" w:rsidRPr="00C0186C">
        <w:rPr>
          <w:rFonts w:ascii="Times New Roman" w:hAnsi="Times New Roman" w:cs="Times New Roman"/>
          <w:sz w:val="24"/>
          <w:szCs w:val="24"/>
        </w:rPr>
        <w:t xml:space="preserve">eg plana provedbe Programa </w:t>
      </w:r>
      <w:r w:rsidRPr="00C0186C">
        <w:rPr>
          <w:rFonts w:ascii="Times New Roman" w:hAnsi="Times New Roman" w:cs="Times New Roman"/>
          <w:sz w:val="24"/>
          <w:szCs w:val="24"/>
        </w:rPr>
        <w:t>predložiti i d</w:t>
      </w:r>
      <w:r w:rsidR="00293D81" w:rsidRPr="00C0186C">
        <w:rPr>
          <w:rFonts w:ascii="Times New Roman" w:hAnsi="Times New Roman" w:cs="Times New Roman"/>
          <w:sz w:val="24"/>
          <w:szCs w:val="24"/>
        </w:rPr>
        <w:t>r</w:t>
      </w:r>
      <w:r w:rsidRPr="00C0186C">
        <w:rPr>
          <w:rFonts w:ascii="Times New Roman" w:hAnsi="Times New Roman" w:cs="Times New Roman"/>
          <w:sz w:val="24"/>
          <w:szCs w:val="24"/>
        </w:rPr>
        <w:t xml:space="preserve">uge aktivnosti vodeći računa o njihovoj usmjerenosti na ključne ciljeve, te očekivane učinke i ishode Programa. </w:t>
      </w:r>
      <w:r w:rsidR="00D7149E">
        <w:rPr>
          <w:rFonts w:ascii="Times New Roman" w:hAnsi="Times New Roman" w:cs="Times New Roman"/>
          <w:sz w:val="24"/>
          <w:szCs w:val="24"/>
        </w:rPr>
        <w:t xml:space="preserve">Predložene mjere i aktivnosti u Tablici 6. provodit će tijela državne uprave u skladu s </w:t>
      </w:r>
      <w:r w:rsidR="0085661A">
        <w:rPr>
          <w:rFonts w:ascii="Times New Roman" w:hAnsi="Times New Roman" w:cs="Times New Roman"/>
          <w:sz w:val="24"/>
          <w:szCs w:val="24"/>
        </w:rPr>
        <w:t>P</w:t>
      </w:r>
      <w:r w:rsidR="00D7149E">
        <w:rPr>
          <w:rFonts w:ascii="Times New Roman" w:hAnsi="Times New Roman" w:cs="Times New Roman"/>
          <w:sz w:val="24"/>
          <w:szCs w:val="24"/>
        </w:rPr>
        <w:t>rovedbenim programom iz svoje nadležnosti te osiguranim sredstvima u Državnom proračunu i raspoloživim sredstvima iz fondova  Europske unije.</w:t>
      </w:r>
      <w:r w:rsidR="0085661A">
        <w:rPr>
          <w:rFonts w:ascii="Times New Roman" w:hAnsi="Times New Roman" w:cs="Times New Roman"/>
          <w:sz w:val="24"/>
          <w:szCs w:val="24"/>
        </w:rPr>
        <w:t xml:space="preserve"> Tijela državne uprave dužna su dostaviti MRRFEU mjere i aktivnosti iz svoje nadležnosti, a koje služe u svrhu razvoja potpomognutih područja, za izradu Godišnjeg plana provedbe Programa </w:t>
      </w:r>
      <w:r w:rsidR="0085661A" w:rsidRPr="0085661A">
        <w:rPr>
          <w:rFonts w:ascii="Times New Roman" w:hAnsi="Times New Roman" w:cs="Times New Roman"/>
          <w:sz w:val="24"/>
          <w:szCs w:val="24"/>
        </w:rPr>
        <w:t>koji će sadržavati plan provedbe pojedinih poticajnih mjera, aktivnosti, potrebna sredstva, izvore i način korištenja sredstava te metodologiju praćenja i izvještavanja realizacije Programa.</w:t>
      </w:r>
    </w:p>
    <w:p w14:paraId="4C035385" w14:textId="77777777" w:rsidR="00C0186C" w:rsidRPr="00C0186C" w:rsidRDefault="00C0186C" w:rsidP="00263E48">
      <w:pPr>
        <w:spacing w:before="0" w:after="0"/>
        <w:rPr>
          <w:rFonts w:ascii="Times New Roman" w:hAnsi="Times New Roman" w:cs="Times New Roman"/>
          <w:b/>
          <w:bCs/>
          <w:sz w:val="24"/>
          <w:szCs w:val="24"/>
        </w:rPr>
      </w:pPr>
    </w:p>
    <w:p w14:paraId="5B708A4C" w14:textId="77777777" w:rsidR="0083583A" w:rsidRPr="00DF5007" w:rsidRDefault="00172FDD" w:rsidP="00263E48">
      <w:pPr>
        <w:spacing w:before="0" w:after="0"/>
        <w:rPr>
          <w:rFonts w:ascii="Times New Roman" w:hAnsi="Times New Roman" w:cs="Times New Roman"/>
          <w:bCs/>
          <w:sz w:val="22"/>
          <w:szCs w:val="22"/>
        </w:rPr>
      </w:pPr>
      <w:r w:rsidRPr="00DF5007">
        <w:rPr>
          <w:rFonts w:ascii="Times New Roman" w:hAnsi="Times New Roman" w:cs="Times New Roman"/>
          <w:b/>
          <w:bCs/>
          <w:sz w:val="22"/>
          <w:szCs w:val="22"/>
        </w:rPr>
        <w:t>Tablica 6</w:t>
      </w:r>
      <w:r w:rsidR="0083583A" w:rsidRPr="00DF5007">
        <w:rPr>
          <w:rFonts w:ascii="Times New Roman" w:hAnsi="Times New Roman" w:cs="Times New Roman"/>
          <w:b/>
          <w:bCs/>
          <w:sz w:val="22"/>
          <w:szCs w:val="22"/>
        </w:rPr>
        <w:t xml:space="preserve">. </w:t>
      </w:r>
      <w:r w:rsidR="0083583A" w:rsidRPr="00DF5007">
        <w:rPr>
          <w:rFonts w:ascii="Times New Roman" w:hAnsi="Times New Roman" w:cs="Times New Roman"/>
          <w:bCs/>
          <w:sz w:val="22"/>
          <w:szCs w:val="22"/>
        </w:rPr>
        <w:t>Prikaz aktivnosti Programa</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15"/>
      </w:tblGrid>
      <w:tr w:rsidR="0083583A" w:rsidRPr="00C0186C" w14:paraId="7BF3003C" w14:textId="77777777" w:rsidTr="00E414B7">
        <w:trPr>
          <w:trHeight w:val="660"/>
        </w:trPr>
        <w:tc>
          <w:tcPr>
            <w:tcW w:w="2547" w:type="dxa"/>
            <w:shd w:val="clear" w:color="auto" w:fill="5B9BD5" w:themeFill="accent1"/>
            <w:noWrap/>
            <w:vAlign w:val="center"/>
            <w:hideMark/>
          </w:tcPr>
          <w:p w14:paraId="07765F3A" w14:textId="77777777" w:rsidR="0083583A" w:rsidRPr="00E4439F" w:rsidRDefault="0083583A" w:rsidP="00263E48">
            <w:pPr>
              <w:spacing w:before="0" w:after="0"/>
              <w:jc w:val="center"/>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CILJ 1.</w:t>
            </w:r>
          </w:p>
        </w:tc>
        <w:tc>
          <w:tcPr>
            <w:tcW w:w="7115" w:type="dxa"/>
            <w:shd w:val="clear" w:color="auto" w:fill="5B9BD5" w:themeFill="accent1"/>
            <w:noWrap/>
            <w:vAlign w:val="center"/>
            <w:hideMark/>
          </w:tcPr>
          <w:p w14:paraId="4137277F" w14:textId="1E7E2FA3" w:rsidR="0083583A" w:rsidRPr="00E4439F" w:rsidRDefault="0083583A" w:rsidP="00263E48">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POVEĆANJE ZAPOSLENOSTI I DOHOTKA</w:t>
            </w:r>
          </w:p>
        </w:tc>
      </w:tr>
      <w:tr w:rsidR="0083583A" w:rsidRPr="00C0186C" w14:paraId="5D708A03" w14:textId="77777777" w:rsidTr="00E4439F">
        <w:trPr>
          <w:trHeight w:val="300"/>
        </w:trPr>
        <w:tc>
          <w:tcPr>
            <w:tcW w:w="2547" w:type="dxa"/>
            <w:shd w:val="clear" w:color="auto" w:fill="5B9BD5" w:themeFill="accent1"/>
            <w:noWrap/>
            <w:vAlign w:val="center"/>
          </w:tcPr>
          <w:p w14:paraId="345CFA7B" w14:textId="77777777" w:rsidR="0083583A" w:rsidRPr="00E4439F" w:rsidRDefault="0083583A" w:rsidP="00263E48">
            <w:pPr>
              <w:spacing w:before="0" w:after="0"/>
              <w:jc w:val="center"/>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 xml:space="preserve">Mjera 1.1. </w:t>
            </w:r>
          </w:p>
        </w:tc>
        <w:tc>
          <w:tcPr>
            <w:tcW w:w="7115" w:type="dxa"/>
            <w:shd w:val="clear" w:color="auto" w:fill="5B9BD5" w:themeFill="accent1"/>
            <w:noWrap/>
            <w:vAlign w:val="center"/>
          </w:tcPr>
          <w:p w14:paraId="6E01FDBF" w14:textId="77777777" w:rsidR="0083583A" w:rsidRPr="00E4439F" w:rsidRDefault="0083583A" w:rsidP="00263E48">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POTICANJE RASTA I RAZVOJA LOKALNIH GOSPODARSTAVA</w:t>
            </w:r>
          </w:p>
        </w:tc>
      </w:tr>
      <w:tr w:rsidR="0083583A" w:rsidRPr="00C0186C" w14:paraId="57C1A62F" w14:textId="77777777" w:rsidTr="00E414B7">
        <w:trPr>
          <w:trHeight w:val="532"/>
        </w:trPr>
        <w:tc>
          <w:tcPr>
            <w:tcW w:w="2547" w:type="dxa"/>
            <w:shd w:val="clear" w:color="auto" w:fill="DEEAF6" w:themeFill="accent1" w:themeFillTint="33"/>
            <w:noWrap/>
            <w:vAlign w:val="center"/>
          </w:tcPr>
          <w:p w14:paraId="416B7838" w14:textId="77777777" w:rsidR="0083583A" w:rsidRPr="00C0186C" w:rsidRDefault="0083583A" w:rsidP="00263E4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Područje djelovanja</w:t>
            </w:r>
          </w:p>
        </w:tc>
        <w:tc>
          <w:tcPr>
            <w:tcW w:w="7115" w:type="dxa"/>
            <w:shd w:val="clear" w:color="auto" w:fill="DEEAF6" w:themeFill="accent1" w:themeFillTint="33"/>
            <w:noWrap/>
            <w:vAlign w:val="center"/>
          </w:tcPr>
          <w:p w14:paraId="52EFE218" w14:textId="77777777" w:rsidR="0083583A" w:rsidRPr="00C0186C" w:rsidRDefault="00722573" w:rsidP="00263E48">
            <w:pPr>
              <w:spacing w:before="0" w:after="0"/>
              <w:jc w:val="both"/>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Gospodarska mjera; fiskalna</w:t>
            </w:r>
            <w:r w:rsidR="0083583A" w:rsidRPr="00C0186C">
              <w:rPr>
                <w:rFonts w:ascii="Times New Roman" w:eastAsia="Times New Roman" w:hAnsi="Times New Roman" w:cs="Times New Roman"/>
                <w:b/>
                <w:bCs/>
                <w:sz w:val="24"/>
                <w:szCs w:val="24"/>
                <w:lang w:eastAsia="hr-HR"/>
              </w:rPr>
              <w:t xml:space="preserve"> mjer</w:t>
            </w:r>
            <w:r w:rsidRPr="00C0186C">
              <w:rPr>
                <w:rFonts w:ascii="Times New Roman" w:eastAsia="Times New Roman" w:hAnsi="Times New Roman" w:cs="Times New Roman"/>
                <w:b/>
                <w:bCs/>
                <w:sz w:val="24"/>
                <w:szCs w:val="24"/>
                <w:lang w:eastAsia="hr-HR"/>
              </w:rPr>
              <w:t>a</w:t>
            </w:r>
          </w:p>
        </w:tc>
      </w:tr>
      <w:tr w:rsidR="0083583A" w:rsidRPr="00C0186C" w14:paraId="4F937B65" w14:textId="77777777" w:rsidTr="00D32164">
        <w:trPr>
          <w:trHeight w:val="300"/>
        </w:trPr>
        <w:tc>
          <w:tcPr>
            <w:tcW w:w="2547" w:type="dxa"/>
            <w:shd w:val="clear" w:color="auto" w:fill="DEEAF6" w:themeFill="accent1" w:themeFillTint="33"/>
            <w:noWrap/>
            <w:vAlign w:val="center"/>
          </w:tcPr>
          <w:p w14:paraId="3B112F64" w14:textId="77777777" w:rsidR="0083583A" w:rsidRPr="00C0186C" w:rsidRDefault="0083583A" w:rsidP="00B70EE8">
            <w:pPr>
              <w:spacing w:before="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Ishodi</w:t>
            </w:r>
          </w:p>
        </w:tc>
        <w:tc>
          <w:tcPr>
            <w:tcW w:w="7115" w:type="dxa"/>
            <w:shd w:val="clear" w:color="auto" w:fill="DEEAF6" w:themeFill="accent1" w:themeFillTint="33"/>
            <w:noWrap/>
            <w:vAlign w:val="center"/>
          </w:tcPr>
          <w:p w14:paraId="1D53F2C3" w14:textId="77777777" w:rsidR="0083583A" w:rsidRPr="00C0186C" w:rsidRDefault="0083583A" w:rsidP="00B70EE8">
            <w:pPr>
              <w:spacing w:before="0"/>
              <w:contextualSpacing/>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Povećanje broja poduzeća, obrta</w:t>
            </w:r>
            <w:r w:rsidR="004E7454" w:rsidRPr="00C0186C">
              <w:rPr>
                <w:rFonts w:ascii="Times New Roman" w:eastAsia="Times New Roman" w:hAnsi="Times New Roman" w:cs="Times New Roman"/>
                <w:b/>
                <w:bCs/>
                <w:sz w:val="24"/>
                <w:szCs w:val="24"/>
                <w:lang w:eastAsia="hr-HR"/>
              </w:rPr>
              <w:t xml:space="preserve"> i</w:t>
            </w:r>
            <w:r w:rsidRPr="00C0186C">
              <w:rPr>
                <w:rFonts w:ascii="Times New Roman" w:eastAsia="Times New Roman" w:hAnsi="Times New Roman" w:cs="Times New Roman"/>
                <w:b/>
                <w:bCs/>
                <w:sz w:val="24"/>
                <w:szCs w:val="24"/>
                <w:lang w:eastAsia="hr-HR"/>
              </w:rPr>
              <w:t xml:space="preserve"> broja zaposlenih</w:t>
            </w:r>
            <w:r w:rsidR="004E7454" w:rsidRPr="00C0186C">
              <w:rPr>
                <w:rFonts w:ascii="Times New Roman" w:eastAsia="Times New Roman" w:hAnsi="Times New Roman" w:cs="Times New Roman"/>
                <w:b/>
                <w:bCs/>
                <w:sz w:val="24"/>
                <w:szCs w:val="24"/>
                <w:lang w:eastAsia="hr-HR"/>
              </w:rPr>
              <w:t xml:space="preserve"> te osnaživanje OPG-</w:t>
            </w:r>
            <w:r w:rsidR="00293D81" w:rsidRPr="00C0186C">
              <w:rPr>
                <w:rFonts w:ascii="Times New Roman" w:eastAsia="Times New Roman" w:hAnsi="Times New Roman" w:cs="Times New Roman"/>
                <w:b/>
                <w:bCs/>
                <w:sz w:val="24"/>
                <w:szCs w:val="24"/>
                <w:lang w:eastAsia="hr-HR"/>
              </w:rPr>
              <w:t>ova</w:t>
            </w:r>
          </w:p>
          <w:p w14:paraId="3894D7BD" w14:textId="77777777" w:rsidR="0083583A" w:rsidRPr="00C0186C" w:rsidRDefault="0083583A" w:rsidP="00B70EE8">
            <w:pPr>
              <w:spacing w:before="0"/>
              <w:contextualSpacing/>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Poboljšanje ekonomsko-socijalnih kapaciteta lokalnih zajednica </w:t>
            </w:r>
          </w:p>
          <w:p w14:paraId="412550A4" w14:textId="77777777" w:rsidR="0083583A" w:rsidRPr="00C0186C" w:rsidRDefault="0083583A" w:rsidP="00B70EE8">
            <w:pPr>
              <w:spacing w:before="0"/>
              <w:contextualSpacing/>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Povećanje standarda javne infrastrukture</w:t>
            </w:r>
          </w:p>
        </w:tc>
      </w:tr>
      <w:tr w:rsidR="0083583A" w:rsidRPr="00C0186C" w14:paraId="48181771" w14:textId="77777777" w:rsidTr="00D32164">
        <w:trPr>
          <w:trHeight w:val="300"/>
        </w:trPr>
        <w:tc>
          <w:tcPr>
            <w:tcW w:w="2547" w:type="dxa"/>
            <w:shd w:val="clear" w:color="auto" w:fill="DEEAF6" w:themeFill="accent1" w:themeFillTint="33"/>
            <w:noWrap/>
            <w:vAlign w:val="center"/>
          </w:tcPr>
          <w:p w14:paraId="67F1A708" w14:textId="77777777" w:rsidR="0083583A" w:rsidRPr="00C0186C" w:rsidRDefault="0083583A"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Aktivnosti/projekti</w:t>
            </w:r>
          </w:p>
        </w:tc>
        <w:tc>
          <w:tcPr>
            <w:tcW w:w="7115" w:type="dxa"/>
            <w:shd w:val="clear" w:color="auto" w:fill="DEEAF6" w:themeFill="accent1" w:themeFillTint="33"/>
            <w:noWrap/>
            <w:vAlign w:val="center"/>
          </w:tcPr>
          <w:p w14:paraId="282ED138" w14:textId="77777777" w:rsidR="0083583A" w:rsidRPr="00C0186C" w:rsidRDefault="0083583A" w:rsidP="00B70EE8">
            <w:pPr>
              <w:numPr>
                <w:ilvl w:val="0"/>
                <w:numId w:val="7"/>
              </w:numPr>
              <w:spacing w:before="0" w:after="0"/>
              <w:contextualSpacing/>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Poticanje i privlačenje investicija privatnog sektora</w:t>
            </w:r>
          </w:p>
          <w:p w14:paraId="1FF29697" w14:textId="77777777" w:rsidR="00962DFC" w:rsidRPr="00C0186C" w:rsidRDefault="0083583A" w:rsidP="00B70EE8">
            <w:pPr>
              <w:pStyle w:val="ListParagraph"/>
              <w:numPr>
                <w:ilvl w:val="1"/>
                <w:numId w:val="7"/>
              </w:numPr>
              <w:spacing w:before="0"/>
              <w:jc w:val="both"/>
              <w:rPr>
                <w:rFonts w:ascii="Times New Roman" w:hAnsi="Times New Roman" w:cs="Times New Roman"/>
                <w:bCs/>
                <w:sz w:val="24"/>
                <w:szCs w:val="24"/>
              </w:rPr>
            </w:pPr>
            <w:r w:rsidRPr="00C0186C">
              <w:rPr>
                <w:rFonts w:ascii="Times New Roman" w:hAnsi="Times New Roman" w:cs="Times New Roman"/>
                <w:bCs/>
                <w:sz w:val="24"/>
                <w:szCs w:val="24"/>
              </w:rPr>
              <w:t>Potpora promotivnim i marketinškim aktivnostima usmjerenim na privlačenje privatnih investicija</w:t>
            </w:r>
            <w:r w:rsidR="00962DFC" w:rsidRPr="00C0186C">
              <w:rPr>
                <w:rFonts w:ascii="Times New Roman" w:hAnsi="Times New Roman" w:cs="Times New Roman"/>
                <w:bCs/>
                <w:sz w:val="24"/>
                <w:szCs w:val="24"/>
              </w:rPr>
              <w:t>;</w:t>
            </w:r>
          </w:p>
          <w:p w14:paraId="3887F386" w14:textId="77777777" w:rsidR="00962DFC" w:rsidRPr="00C0186C" w:rsidRDefault="00962DFC" w:rsidP="00B70EE8">
            <w:pPr>
              <w:pStyle w:val="ListParagraph"/>
              <w:numPr>
                <w:ilvl w:val="1"/>
                <w:numId w:val="7"/>
              </w:numPr>
              <w:spacing w:before="0"/>
              <w:jc w:val="both"/>
              <w:rPr>
                <w:rFonts w:ascii="Times New Roman" w:hAnsi="Times New Roman" w:cs="Times New Roman"/>
                <w:bCs/>
                <w:sz w:val="24"/>
                <w:szCs w:val="24"/>
              </w:rPr>
            </w:pPr>
            <w:r w:rsidRPr="00C0186C">
              <w:rPr>
                <w:rFonts w:ascii="Times New Roman" w:hAnsi="Times New Roman" w:cs="Times New Roman"/>
                <w:bCs/>
                <w:sz w:val="24"/>
                <w:szCs w:val="24"/>
              </w:rPr>
              <w:t>R</w:t>
            </w:r>
            <w:r w:rsidR="0083583A" w:rsidRPr="00C0186C">
              <w:rPr>
                <w:rFonts w:ascii="Times New Roman" w:hAnsi="Times New Roman" w:cs="Times New Roman"/>
                <w:bCs/>
                <w:sz w:val="24"/>
                <w:szCs w:val="24"/>
              </w:rPr>
              <w:t>azrada modela privlačenja investicija, sufinanciranje investicija privatnog sektora</w:t>
            </w:r>
            <w:r w:rsidRPr="00C0186C">
              <w:rPr>
                <w:rFonts w:ascii="Times New Roman" w:hAnsi="Times New Roman" w:cs="Times New Roman"/>
                <w:bCs/>
                <w:sz w:val="24"/>
                <w:szCs w:val="24"/>
              </w:rPr>
              <w:t>;</w:t>
            </w:r>
          </w:p>
          <w:p w14:paraId="52963F42" w14:textId="77777777" w:rsidR="00962DFC" w:rsidRPr="00C0186C" w:rsidRDefault="00962DFC" w:rsidP="00B70EE8">
            <w:pPr>
              <w:pStyle w:val="ListParagraph"/>
              <w:numPr>
                <w:ilvl w:val="1"/>
                <w:numId w:val="7"/>
              </w:numPr>
              <w:spacing w:before="0"/>
              <w:jc w:val="both"/>
              <w:rPr>
                <w:rFonts w:ascii="Times New Roman" w:hAnsi="Times New Roman" w:cs="Times New Roman"/>
                <w:bCs/>
                <w:sz w:val="24"/>
                <w:szCs w:val="24"/>
              </w:rPr>
            </w:pPr>
            <w:r w:rsidRPr="00C0186C">
              <w:rPr>
                <w:rFonts w:ascii="Times New Roman" w:hAnsi="Times New Roman" w:cs="Times New Roman"/>
                <w:bCs/>
                <w:sz w:val="24"/>
                <w:szCs w:val="24"/>
              </w:rPr>
              <w:t>S</w:t>
            </w:r>
            <w:r w:rsidR="008557DB" w:rsidRPr="00C0186C">
              <w:rPr>
                <w:rFonts w:ascii="Times New Roman" w:hAnsi="Times New Roman" w:cs="Times New Roman"/>
                <w:bCs/>
                <w:sz w:val="24"/>
                <w:szCs w:val="24"/>
              </w:rPr>
              <w:t>manjenje parafiskalnih nameta</w:t>
            </w:r>
            <w:r w:rsidRPr="00C0186C">
              <w:rPr>
                <w:rFonts w:ascii="Times New Roman" w:hAnsi="Times New Roman" w:cs="Times New Roman"/>
                <w:bCs/>
                <w:sz w:val="24"/>
                <w:szCs w:val="24"/>
              </w:rPr>
              <w:t>;</w:t>
            </w:r>
          </w:p>
          <w:p w14:paraId="6905B02C" w14:textId="77777777" w:rsidR="00962DFC" w:rsidRPr="00C0186C" w:rsidRDefault="0083583A" w:rsidP="00B70EE8">
            <w:pPr>
              <w:pStyle w:val="ListParagraph"/>
              <w:numPr>
                <w:ilvl w:val="1"/>
                <w:numId w:val="7"/>
              </w:numPr>
              <w:spacing w:before="0"/>
              <w:jc w:val="both"/>
              <w:rPr>
                <w:rFonts w:ascii="Times New Roman" w:hAnsi="Times New Roman" w:cs="Times New Roman"/>
                <w:bCs/>
                <w:sz w:val="24"/>
                <w:szCs w:val="24"/>
              </w:rPr>
            </w:pPr>
            <w:r w:rsidRPr="00C0186C">
              <w:rPr>
                <w:rFonts w:ascii="Times New Roman" w:hAnsi="Times New Roman" w:cs="Times New Roman"/>
                <w:bCs/>
                <w:sz w:val="24"/>
                <w:szCs w:val="24"/>
              </w:rPr>
              <w:t xml:space="preserve">Poticanje ulaganja u ekološki orijentirane proizvode i proizvode temeljene na principima kružne ekonomije; </w:t>
            </w:r>
          </w:p>
          <w:p w14:paraId="1A448917" w14:textId="77777777" w:rsidR="00962DFC" w:rsidRPr="00C0186C" w:rsidRDefault="0083583A" w:rsidP="00B70EE8">
            <w:pPr>
              <w:pStyle w:val="ListParagraph"/>
              <w:numPr>
                <w:ilvl w:val="1"/>
                <w:numId w:val="7"/>
              </w:numPr>
              <w:spacing w:before="0"/>
              <w:jc w:val="both"/>
              <w:rPr>
                <w:rFonts w:ascii="Times New Roman" w:hAnsi="Times New Roman" w:cs="Times New Roman"/>
                <w:bCs/>
                <w:sz w:val="24"/>
                <w:szCs w:val="24"/>
              </w:rPr>
            </w:pPr>
            <w:r w:rsidRPr="00C0186C">
              <w:rPr>
                <w:rFonts w:ascii="Times New Roman" w:hAnsi="Times New Roman" w:cs="Times New Roman"/>
                <w:bCs/>
                <w:sz w:val="24"/>
                <w:szCs w:val="24"/>
              </w:rPr>
              <w:t>Prostorno planiranje i upravljanje imovinom usmjereno na aktivaciju gospodarskog i poljoprivrednog zemljišta;</w:t>
            </w:r>
          </w:p>
          <w:p w14:paraId="524BE98E" w14:textId="77777777" w:rsidR="0083583A" w:rsidRPr="00C0186C" w:rsidRDefault="00962DFC" w:rsidP="00B70EE8">
            <w:pPr>
              <w:pStyle w:val="ListParagraph"/>
              <w:numPr>
                <w:ilvl w:val="1"/>
                <w:numId w:val="7"/>
              </w:numPr>
              <w:spacing w:before="0"/>
              <w:jc w:val="both"/>
              <w:rPr>
                <w:rFonts w:ascii="Times New Roman" w:hAnsi="Times New Roman" w:cs="Times New Roman"/>
                <w:bCs/>
                <w:sz w:val="24"/>
                <w:szCs w:val="24"/>
              </w:rPr>
            </w:pPr>
            <w:r w:rsidRPr="00C0186C">
              <w:rPr>
                <w:rFonts w:ascii="Times New Roman" w:hAnsi="Times New Roman" w:cs="Times New Roman"/>
                <w:bCs/>
                <w:sz w:val="24"/>
                <w:szCs w:val="24"/>
              </w:rPr>
              <w:t>P</w:t>
            </w:r>
            <w:r w:rsidR="0083583A" w:rsidRPr="00C0186C">
              <w:rPr>
                <w:rFonts w:ascii="Times New Roman" w:hAnsi="Times New Roman" w:cs="Times New Roman"/>
                <w:bCs/>
                <w:sz w:val="24"/>
                <w:szCs w:val="24"/>
              </w:rPr>
              <w:t>oticanje proširenja ponude turizma te poljoprivrednih djelatnosti</w:t>
            </w:r>
            <w:r w:rsidR="004E7454" w:rsidRPr="00C0186C">
              <w:rPr>
                <w:rFonts w:ascii="Times New Roman" w:hAnsi="Times New Roman" w:cs="Times New Roman"/>
                <w:bCs/>
                <w:sz w:val="24"/>
                <w:szCs w:val="24"/>
              </w:rPr>
              <w:t xml:space="preserve"> i dopunskih djelatnosti OPG-</w:t>
            </w:r>
            <w:r w:rsidR="00293D81" w:rsidRPr="00C0186C">
              <w:rPr>
                <w:rFonts w:ascii="Times New Roman" w:hAnsi="Times New Roman" w:cs="Times New Roman"/>
                <w:bCs/>
                <w:sz w:val="24"/>
                <w:szCs w:val="24"/>
              </w:rPr>
              <w:t>ova</w:t>
            </w:r>
            <w:r w:rsidR="004E7454" w:rsidRPr="00C0186C">
              <w:rPr>
                <w:rFonts w:ascii="Times New Roman" w:hAnsi="Times New Roman" w:cs="Times New Roman"/>
                <w:bCs/>
                <w:sz w:val="24"/>
                <w:szCs w:val="24"/>
              </w:rPr>
              <w:t>.</w:t>
            </w:r>
          </w:p>
          <w:p w14:paraId="129CE651" w14:textId="605DB0C1" w:rsidR="0083583A" w:rsidRPr="00C0186C" w:rsidRDefault="0083583A" w:rsidP="00B70EE8">
            <w:pPr>
              <w:spacing w:before="0" w:after="0"/>
              <w:contextualSpacing/>
              <w:jc w:val="both"/>
              <w:rPr>
                <w:rFonts w:ascii="Times New Roman" w:eastAsia="Times New Roman" w:hAnsi="Times New Roman" w:cs="Times New Roman"/>
                <w:bCs/>
                <w:sz w:val="24"/>
                <w:szCs w:val="24"/>
                <w:lang w:eastAsia="hr-HR"/>
              </w:rPr>
            </w:pPr>
            <w:r w:rsidRPr="00C0186C">
              <w:rPr>
                <w:rFonts w:ascii="Times New Roman" w:eastAsia="Times New Roman" w:hAnsi="Times New Roman" w:cs="Times New Roman"/>
                <w:bCs/>
                <w:sz w:val="24"/>
                <w:szCs w:val="24"/>
                <w:lang w:eastAsia="hr-HR"/>
              </w:rPr>
              <w:t>Sve navedene aktivnosti trebaju biti u funkciji povećanja investicijske aktivnosti privatnog sektora, te posredno porasta  zaposlenosti i dohotka.</w:t>
            </w:r>
          </w:p>
          <w:p w14:paraId="283C6C52" w14:textId="77777777" w:rsidR="0083583A" w:rsidRPr="00C0186C" w:rsidRDefault="0083583A" w:rsidP="00B70EE8">
            <w:pPr>
              <w:numPr>
                <w:ilvl w:val="0"/>
                <w:numId w:val="7"/>
              </w:numPr>
              <w:spacing w:before="0" w:after="0"/>
              <w:contextualSpacing/>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Poticanje otvaranja novih poduzeća</w:t>
            </w:r>
            <w:r w:rsidR="004E7454" w:rsidRPr="00C0186C">
              <w:rPr>
                <w:rFonts w:ascii="Times New Roman" w:eastAsia="Times New Roman" w:hAnsi="Times New Roman" w:cs="Times New Roman"/>
                <w:b/>
                <w:bCs/>
                <w:sz w:val="24"/>
                <w:szCs w:val="24"/>
                <w:lang w:eastAsia="hr-HR"/>
              </w:rPr>
              <w:t xml:space="preserve"> i</w:t>
            </w:r>
            <w:r w:rsidRPr="00C0186C">
              <w:rPr>
                <w:rFonts w:ascii="Times New Roman" w:eastAsia="Times New Roman" w:hAnsi="Times New Roman" w:cs="Times New Roman"/>
                <w:b/>
                <w:bCs/>
                <w:sz w:val="24"/>
                <w:szCs w:val="24"/>
                <w:lang w:eastAsia="hr-HR"/>
              </w:rPr>
              <w:t xml:space="preserve"> obrta, </w:t>
            </w:r>
            <w:r w:rsidR="004E7454" w:rsidRPr="00C0186C">
              <w:rPr>
                <w:rFonts w:ascii="Times New Roman" w:eastAsia="Times New Roman" w:hAnsi="Times New Roman" w:cs="Times New Roman"/>
                <w:b/>
                <w:bCs/>
                <w:sz w:val="24"/>
                <w:szCs w:val="24"/>
                <w:lang w:eastAsia="hr-HR"/>
              </w:rPr>
              <w:t>podrška postojećim i osnaživanje OPG-</w:t>
            </w:r>
            <w:r w:rsidR="00293D81" w:rsidRPr="00C0186C">
              <w:rPr>
                <w:rFonts w:ascii="Times New Roman" w:eastAsia="Times New Roman" w:hAnsi="Times New Roman" w:cs="Times New Roman"/>
                <w:b/>
                <w:bCs/>
                <w:sz w:val="24"/>
                <w:szCs w:val="24"/>
                <w:lang w:eastAsia="hr-HR"/>
              </w:rPr>
              <w:t>ova</w:t>
            </w:r>
          </w:p>
          <w:p w14:paraId="7452446B" w14:textId="77777777" w:rsidR="00600FE4" w:rsidRPr="00C0186C" w:rsidRDefault="0083583A" w:rsidP="00B70EE8">
            <w:pPr>
              <w:pStyle w:val="ListParagraph"/>
              <w:numPr>
                <w:ilvl w:val="1"/>
                <w:numId w:val="7"/>
              </w:numPr>
              <w:spacing w:before="0"/>
              <w:jc w:val="both"/>
              <w:rPr>
                <w:rFonts w:ascii="Times New Roman" w:hAnsi="Times New Roman" w:cs="Times New Roman"/>
                <w:bCs/>
                <w:sz w:val="24"/>
                <w:szCs w:val="24"/>
              </w:rPr>
            </w:pPr>
            <w:r w:rsidRPr="00C0186C">
              <w:rPr>
                <w:rFonts w:ascii="Times New Roman" w:hAnsi="Times New Roman" w:cs="Times New Roman"/>
                <w:bCs/>
                <w:sz w:val="24"/>
                <w:szCs w:val="24"/>
              </w:rPr>
              <w:t>Sufinanciranje i podrška  aktivnostima, projektima i programima usmjerenim na otvaranja novih poduzeća, obrta</w:t>
            </w:r>
            <w:r w:rsidR="004E7454" w:rsidRPr="00C0186C">
              <w:rPr>
                <w:rFonts w:ascii="Times New Roman" w:hAnsi="Times New Roman" w:cs="Times New Roman"/>
                <w:bCs/>
                <w:sz w:val="24"/>
                <w:szCs w:val="24"/>
              </w:rPr>
              <w:t xml:space="preserve"> te novih poljoprivrednih i dopunskih djelatnosti OPG-</w:t>
            </w:r>
            <w:r w:rsidR="00293D81" w:rsidRPr="00C0186C">
              <w:rPr>
                <w:rFonts w:ascii="Times New Roman" w:hAnsi="Times New Roman" w:cs="Times New Roman"/>
                <w:bCs/>
                <w:sz w:val="24"/>
                <w:szCs w:val="24"/>
              </w:rPr>
              <w:t>ova</w:t>
            </w:r>
            <w:r w:rsidR="004E7454" w:rsidRPr="00C0186C">
              <w:rPr>
                <w:rFonts w:ascii="Times New Roman" w:hAnsi="Times New Roman" w:cs="Times New Roman"/>
                <w:bCs/>
                <w:sz w:val="24"/>
                <w:szCs w:val="24"/>
              </w:rPr>
              <w:t>, a posebice u području tradicijskih obrta i zanata</w:t>
            </w:r>
            <w:r w:rsidR="00600FE4" w:rsidRPr="00C0186C">
              <w:rPr>
                <w:rFonts w:ascii="Times New Roman" w:hAnsi="Times New Roman" w:cs="Times New Roman"/>
                <w:bCs/>
                <w:sz w:val="24"/>
                <w:szCs w:val="24"/>
              </w:rPr>
              <w:t>;</w:t>
            </w:r>
          </w:p>
          <w:p w14:paraId="1317B030" w14:textId="77777777" w:rsidR="0083583A" w:rsidRPr="00C0186C" w:rsidRDefault="00600FE4" w:rsidP="00263E48">
            <w:pPr>
              <w:pStyle w:val="ListParagraph"/>
              <w:numPr>
                <w:ilvl w:val="1"/>
                <w:numId w:val="7"/>
              </w:numPr>
              <w:spacing w:before="0" w:after="0"/>
              <w:jc w:val="both"/>
              <w:rPr>
                <w:rFonts w:ascii="Times New Roman" w:hAnsi="Times New Roman" w:cs="Times New Roman"/>
                <w:bCs/>
                <w:sz w:val="24"/>
                <w:szCs w:val="24"/>
              </w:rPr>
            </w:pPr>
            <w:r w:rsidRPr="00C0186C">
              <w:rPr>
                <w:rFonts w:ascii="Times New Roman" w:hAnsi="Times New Roman" w:cs="Times New Roman"/>
                <w:bCs/>
                <w:sz w:val="24"/>
                <w:szCs w:val="24"/>
              </w:rPr>
              <w:t>S</w:t>
            </w:r>
            <w:r w:rsidR="0083583A" w:rsidRPr="00C0186C">
              <w:rPr>
                <w:rFonts w:ascii="Times New Roman" w:hAnsi="Times New Roman" w:cs="Times New Roman"/>
                <w:bCs/>
                <w:sz w:val="24"/>
                <w:szCs w:val="24"/>
              </w:rPr>
              <w:t>tručne potpore, sufinanciranje kapitalnih ulaganja, nabav</w:t>
            </w:r>
            <w:r w:rsidRPr="00C0186C">
              <w:rPr>
                <w:rFonts w:ascii="Times New Roman" w:hAnsi="Times New Roman" w:cs="Times New Roman"/>
                <w:bCs/>
                <w:sz w:val="24"/>
                <w:szCs w:val="24"/>
              </w:rPr>
              <w:t>a</w:t>
            </w:r>
            <w:r w:rsidR="0083583A" w:rsidRPr="00C0186C">
              <w:rPr>
                <w:rFonts w:ascii="Times New Roman" w:hAnsi="Times New Roman" w:cs="Times New Roman"/>
                <w:bCs/>
                <w:sz w:val="24"/>
                <w:szCs w:val="24"/>
              </w:rPr>
              <w:t xml:space="preserve"> opreme, organizacija stručnih seminara i radionica  u funkciji povećanja broja tržišnih subjekata i broja zaposlenih, s obzirom na lokalne resurse i potencijale.</w:t>
            </w:r>
          </w:p>
          <w:p w14:paraId="0ECEE9E6" w14:textId="77777777" w:rsidR="0083583A" w:rsidRPr="00C0186C" w:rsidRDefault="0083583A" w:rsidP="00B70EE8">
            <w:pPr>
              <w:spacing w:before="0" w:after="0"/>
              <w:rPr>
                <w:rFonts w:ascii="Times New Roman" w:eastAsia="Times New Roman" w:hAnsi="Times New Roman" w:cs="Times New Roman"/>
                <w:b/>
                <w:bCs/>
                <w:sz w:val="24"/>
                <w:szCs w:val="24"/>
                <w:lang w:eastAsia="hr-HR"/>
              </w:rPr>
            </w:pPr>
          </w:p>
          <w:p w14:paraId="32EFC278" w14:textId="77777777" w:rsidR="0083583A" w:rsidRPr="00C0186C" w:rsidRDefault="0083583A" w:rsidP="00B70EE8">
            <w:pPr>
              <w:numPr>
                <w:ilvl w:val="0"/>
                <w:numId w:val="7"/>
              </w:numPr>
              <w:spacing w:before="0" w:after="0"/>
              <w:contextualSpacing/>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Razvoj i unaprjeđenje mrežne i komunalne infrastrukture u funkciji podrške gospodarskim procesima</w:t>
            </w:r>
          </w:p>
          <w:p w14:paraId="33044BFD" w14:textId="25E88203" w:rsidR="0083583A" w:rsidRPr="00263E48" w:rsidRDefault="0083583A" w:rsidP="00263E48">
            <w:pPr>
              <w:pStyle w:val="ListParagraph"/>
              <w:numPr>
                <w:ilvl w:val="1"/>
                <w:numId w:val="7"/>
              </w:numPr>
              <w:spacing w:before="0" w:after="0"/>
              <w:jc w:val="both"/>
              <w:rPr>
                <w:rFonts w:ascii="Times New Roman" w:eastAsia="Times New Roman" w:hAnsi="Times New Roman" w:cs="Times New Roman"/>
                <w:bCs/>
                <w:sz w:val="24"/>
                <w:szCs w:val="24"/>
                <w:lang w:eastAsia="hr-HR"/>
              </w:rPr>
            </w:pPr>
            <w:r w:rsidRPr="00263E48">
              <w:rPr>
                <w:rFonts w:ascii="Times New Roman" w:eastAsia="Times New Roman" w:hAnsi="Times New Roman" w:cs="Times New Roman"/>
                <w:bCs/>
                <w:sz w:val="24"/>
                <w:szCs w:val="24"/>
                <w:lang w:eastAsia="hr-HR"/>
              </w:rPr>
              <w:t>Sufinanciranje izgradnje i unaprjeđenja svih vrsta infrastrukture (prometne, energetske,</w:t>
            </w:r>
            <w:r w:rsidR="002155EF" w:rsidRPr="00263E48">
              <w:rPr>
                <w:rFonts w:ascii="Times New Roman" w:hAnsi="Times New Roman" w:cs="Times New Roman"/>
                <w:sz w:val="24"/>
                <w:szCs w:val="24"/>
              </w:rPr>
              <w:t xml:space="preserve"> </w:t>
            </w:r>
            <w:r w:rsidR="002155EF" w:rsidRPr="00263E48">
              <w:rPr>
                <w:rFonts w:ascii="Times New Roman" w:eastAsia="Times New Roman" w:hAnsi="Times New Roman" w:cs="Times New Roman"/>
                <w:bCs/>
                <w:sz w:val="24"/>
                <w:szCs w:val="24"/>
                <w:lang w:eastAsia="hr-HR"/>
              </w:rPr>
              <w:t>turističk</w:t>
            </w:r>
            <w:r w:rsidR="00A2129C" w:rsidRPr="00263E48">
              <w:rPr>
                <w:rFonts w:ascii="Times New Roman" w:eastAsia="Times New Roman" w:hAnsi="Times New Roman" w:cs="Times New Roman"/>
                <w:bCs/>
                <w:sz w:val="24"/>
                <w:szCs w:val="24"/>
                <w:lang w:eastAsia="hr-HR"/>
              </w:rPr>
              <w:t>e</w:t>
            </w:r>
            <w:r w:rsidR="002155EF" w:rsidRPr="00263E48">
              <w:rPr>
                <w:rFonts w:ascii="Times New Roman" w:eastAsia="Times New Roman" w:hAnsi="Times New Roman" w:cs="Times New Roman"/>
                <w:bCs/>
                <w:sz w:val="24"/>
                <w:szCs w:val="24"/>
                <w:lang w:eastAsia="hr-HR"/>
              </w:rPr>
              <w:t xml:space="preserve"> infrastruktur</w:t>
            </w:r>
            <w:r w:rsidR="00A2129C" w:rsidRPr="00263E48">
              <w:rPr>
                <w:rFonts w:ascii="Times New Roman" w:eastAsia="Times New Roman" w:hAnsi="Times New Roman" w:cs="Times New Roman"/>
                <w:bCs/>
                <w:sz w:val="24"/>
                <w:szCs w:val="24"/>
                <w:lang w:eastAsia="hr-HR"/>
              </w:rPr>
              <w:t>e</w:t>
            </w:r>
            <w:r w:rsidR="002155EF" w:rsidRPr="00263E48">
              <w:rPr>
                <w:rFonts w:ascii="Times New Roman" w:eastAsia="Times New Roman" w:hAnsi="Times New Roman" w:cs="Times New Roman"/>
                <w:bCs/>
                <w:sz w:val="24"/>
                <w:szCs w:val="24"/>
                <w:lang w:eastAsia="hr-HR"/>
              </w:rPr>
              <w:t xml:space="preserve">, </w:t>
            </w:r>
            <w:r w:rsidRPr="00263E48">
              <w:rPr>
                <w:rFonts w:ascii="Times New Roman" w:eastAsia="Times New Roman" w:hAnsi="Times New Roman" w:cs="Times New Roman"/>
                <w:bCs/>
                <w:sz w:val="24"/>
                <w:szCs w:val="24"/>
                <w:lang w:eastAsia="hr-HR"/>
              </w:rPr>
              <w:t xml:space="preserve"> informacijsko-komunikacijske te ostale komunalne i druge infrastrukture) važne za povećanje gospodarske aktivnosti te rasta produktivnosti poduzetnika i obrtnika</w:t>
            </w:r>
            <w:r w:rsidR="00600FE4" w:rsidRPr="00263E48">
              <w:rPr>
                <w:rFonts w:ascii="Times New Roman" w:eastAsia="Times New Roman" w:hAnsi="Times New Roman" w:cs="Times New Roman"/>
                <w:bCs/>
                <w:sz w:val="24"/>
                <w:szCs w:val="24"/>
                <w:lang w:eastAsia="hr-HR"/>
              </w:rPr>
              <w:t>;</w:t>
            </w:r>
            <w:r w:rsidRPr="00263E48">
              <w:rPr>
                <w:rFonts w:ascii="Times New Roman" w:eastAsia="Times New Roman" w:hAnsi="Times New Roman" w:cs="Times New Roman"/>
                <w:bCs/>
                <w:sz w:val="24"/>
                <w:szCs w:val="24"/>
                <w:lang w:eastAsia="hr-HR"/>
              </w:rPr>
              <w:t xml:space="preserve"> </w:t>
            </w:r>
          </w:p>
          <w:p w14:paraId="46E3ECF2" w14:textId="43DC3A3E" w:rsidR="0083583A" w:rsidRPr="00263E48" w:rsidRDefault="0083583A" w:rsidP="00263E48">
            <w:pPr>
              <w:pStyle w:val="ListParagraph"/>
              <w:numPr>
                <w:ilvl w:val="1"/>
                <w:numId w:val="7"/>
              </w:numPr>
              <w:spacing w:before="0" w:after="0"/>
              <w:jc w:val="both"/>
              <w:rPr>
                <w:rFonts w:ascii="Times New Roman" w:eastAsia="Times New Roman" w:hAnsi="Times New Roman" w:cs="Times New Roman"/>
                <w:bCs/>
                <w:sz w:val="24"/>
                <w:szCs w:val="24"/>
                <w:lang w:eastAsia="hr-HR"/>
              </w:rPr>
            </w:pPr>
            <w:r w:rsidRPr="00263E48">
              <w:rPr>
                <w:rFonts w:ascii="Times New Roman" w:eastAsia="Times New Roman" w:hAnsi="Times New Roman" w:cs="Times New Roman"/>
                <w:bCs/>
                <w:sz w:val="24"/>
                <w:szCs w:val="24"/>
                <w:lang w:eastAsia="hr-HR"/>
              </w:rPr>
              <w:t>Podrška izgradnji, unaprjeđenju te promociji poduzetničk</w:t>
            </w:r>
            <w:r w:rsidR="00A76E28" w:rsidRPr="00263E48">
              <w:rPr>
                <w:rFonts w:ascii="Times New Roman" w:eastAsia="Times New Roman" w:hAnsi="Times New Roman" w:cs="Times New Roman"/>
                <w:bCs/>
                <w:sz w:val="24"/>
                <w:szCs w:val="24"/>
                <w:lang w:eastAsia="hr-HR"/>
              </w:rPr>
              <w:t xml:space="preserve">e infrastrukture </w:t>
            </w:r>
            <w:r w:rsidR="00600FE4" w:rsidRPr="00263E48">
              <w:rPr>
                <w:rFonts w:ascii="Times New Roman" w:eastAsia="Times New Roman" w:hAnsi="Times New Roman" w:cs="Times New Roman"/>
                <w:bCs/>
                <w:sz w:val="24"/>
                <w:szCs w:val="24"/>
                <w:lang w:eastAsia="hr-HR"/>
              </w:rPr>
              <w:t>;</w:t>
            </w:r>
          </w:p>
          <w:p w14:paraId="3105D70F" w14:textId="72F0DA0F" w:rsidR="002E789D" w:rsidRPr="00263E48" w:rsidRDefault="0083583A" w:rsidP="00263E48">
            <w:pPr>
              <w:pStyle w:val="ListParagraph"/>
              <w:numPr>
                <w:ilvl w:val="1"/>
                <w:numId w:val="7"/>
              </w:numPr>
              <w:spacing w:before="0" w:after="0"/>
              <w:jc w:val="both"/>
              <w:rPr>
                <w:rFonts w:ascii="Times New Roman" w:eastAsia="Times New Roman" w:hAnsi="Times New Roman" w:cs="Times New Roman"/>
                <w:bCs/>
                <w:sz w:val="24"/>
                <w:szCs w:val="24"/>
                <w:lang w:eastAsia="hr-HR"/>
              </w:rPr>
            </w:pPr>
            <w:r w:rsidRPr="00263E48">
              <w:rPr>
                <w:rFonts w:ascii="Times New Roman" w:eastAsia="Times New Roman" w:hAnsi="Times New Roman" w:cs="Times New Roman"/>
                <w:bCs/>
                <w:sz w:val="24"/>
                <w:szCs w:val="24"/>
                <w:lang w:eastAsia="hr-HR"/>
              </w:rPr>
              <w:t>Podrška i sufinanciranje pripreme projektn</w:t>
            </w:r>
            <w:r w:rsidR="00220D10" w:rsidRPr="00263E48">
              <w:rPr>
                <w:rFonts w:ascii="Times New Roman" w:eastAsia="Times New Roman" w:hAnsi="Times New Roman" w:cs="Times New Roman"/>
                <w:bCs/>
                <w:sz w:val="24"/>
                <w:szCs w:val="24"/>
                <w:lang w:eastAsia="hr-HR"/>
              </w:rPr>
              <w:t xml:space="preserve">o tehničke </w:t>
            </w:r>
            <w:r w:rsidRPr="00263E48">
              <w:rPr>
                <w:rFonts w:ascii="Times New Roman" w:eastAsia="Times New Roman" w:hAnsi="Times New Roman" w:cs="Times New Roman"/>
                <w:bCs/>
                <w:sz w:val="24"/>
                <w:szCs w:val="24"/>
                <w:lang w:eastAsia="hr-HR"/>
              </w:rPr>
              <w:t>dokumentacije</w:t>
            </w:r>
            <w:r w:rsidR="00220D10" w:rsidRPr="00263E48">
              <w:rPr>
                <w:rFonts w:ascii="Times New Roman" w:eastAsia="Times New Roman" w:hAnsi="Times New Roman" w:cs="Times New Roman"/>
                <w:bCs/>
                <w:sz w:val="24"/>
                <w:szCs w:val="24"/>
                <w:lang w:eastAsia="hr-HR"/>
              </w:rPr>
              <w:t xml:space="preserve"> za prijavu EU projekata čiji su nositelji </w:t>
            </w:r>
            <w:r w:rsidR="002168CB" w:rsidRPr="00263E48">
              <w:rPr>
                <w:rFonts w:ascii="Times New Roman" w:eastAsia="Times New Roman" w:hAnsi="Times New Roman" w:cs="Times New Roman"/>
                <w:bCs/>
                <w:sz w:val="24"/>
                <w:szCs w:val="24"/>
                <w:lang w:eastAsia="hr-HR"/>
              </w:rPr>
              <w:t xml:space="preserve">jedinice lokalne i područne (regionalne) samouprave </w:t>
            </w:r>
            <w:r w:rsidR="00A76E28" w:rsidRPr="00263E48">
              <w:rPr>
                <w:rFonts w:ascii="Times New Roman" w:eastAsia="Times New Roman" w:hAnsi="Times New Roman" w:cs="Times New Roman"/>
                <w:bCs/>
                <w:sz w:val="24"/>
                <w:szCs w:val="24"/>
                <w:lang w:eastAsia="hr-HR"/>
              </w:rPr>
              <w:t>sa statusom potpomognutog područja</w:t>
            </w:r>
            <w:r w:rsidR="00220D10" w:rsidRPr="00263E48">
              <w:rPr>
                <w:rFonts w:ascii="Times New Roman" w:eastAsia="Times New Roman" w:hAnsi="Times New Roman" w:cs="Times New Roman"/>
                <w:bCs/>
                <w:sz w:val="24"/>
                <w:szCs w:val="24"/>
                <w:lang w:eastAsia="hr-HR"/>
              </w:rPr>
              <w:t xml:space="preserve">, a koji rezultiraju rastom i razvojem </w:t>
            </w:r>
            <w:r w:rsidR="002168CB" w:rsidRPr="00263E48">
              <w:rPr>
                <w:rFonts w:ascii="Times New Roman" w:eastAsia="Times New Roman" w:hAnsi="Times New Roman" w:cs="Times New Roman"/>
                <w:bCs/>
                <w:sz w:val="24"/>
                <w:szCs w:val="24"/>
                <w:lang w:eastAsia="hr-HR"/>
              </w:rPr>
              <w:t>poduzetničke</w:t>
            </w:r>
            <w:r w:rsidR="00220D10" w:rsidRPr="00263E48">
              <w:rPr>
                <w:rFonts w:ascii="Times New Roman" w:eastAsia="Times New Roman" w:hAnsi="Times New Roman" w:cs="Times New Roman"/>
                <w:bCs/>
                <w:sz w:val="24"/>
                <w:szCs w:val="24"/>
                <w:lang w:eastAsia="hr-HR"/>
              </w:rPr>
              <w:t xml:space="preserve"> infrastrukture</w:t>
            </w:r>
            <w:r w:rsidR="00CB7C65" w:rsidRPr="00263E48">
              <w:rPr>
                <w:rFonts w:ascii="Times New Roman" w:eastAsia="Times New Roman" w:hAnsi="Times New Roman" w:cs="Times New Roman"/>
                <w:bCs/>
                <w:sz w:val="24"/>
                <w:szCs w:val="24"/>
                <w:lang w:eastAsia="hr-HR"/>
              </w:rPr>
              <w:t>.</w:t>
            </w:r>
            <w:r w:rsidR="00220D10" w:rsidRPr="00263E48">
              <w:rPr>
                <w:rFonts w:ascii="Times New Roman" w:eastAsia="Times New Roman" w:hAnsi="Times New Roman" w:cs="Times New Roman"/>
                <w:bCs/>
                <w:sz w:val="24"/>
                <w:szCs w:val="24"/>
                <w:lang w:eastAsia="hr-HR"/>
              </w:rPr>
              <w:t xml:space="preserve"> </w:t>
            </w:r>
          </w:p>
        </w:tc>
      </w:tr>
      <w:tr w:rsidR="0083583A" w:rsidRPr="00C0186C" w14:paraId="42B972FB" w14:textId="77777777" w:rsidTr="00E414B7">
        <w:trPr>
          <w:trHeight w:val="620"/>
        </w:trPr>
        <w:tc>
          <w:tcPr>
            <w:tcW w:w="2547" w:type="dxa"/>
            <w:shd w:val="clear" w:color="auto" w:fill="5B9BD5" w:themeFill="accent1"/>
            <w:noWrap/>
            <w:vAlign w:val="center"/>
          </w:tcPr>
          <w:p w14:paraId="5F481E58" w14:textId="77777777" w:rsidR="0083583A" w:rsidRPr="00E4439F" w:rsidRDefault="0083583A" w:rsidP="00B70EE8">
            <w:pPr>
              <w:spacing w:before="0" w:after="0"/>
              <w:jc w:val="center"/>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 xml:space="preserve">Mjera 1.2. </w:t>
            </w:r>
          </w:p>
        </w:tc>
        <w:tc>
          <w:tcPr>
            <w:tcW w:w="7115" w:type="dxa"/>
            <w:shd w:val="clear" w:color="auto" w:fill="5B9BD5" w:themeFill="accent1"/>
            <w:noWrap/>
            <w:vAlign w:val="center"/>
          </w:tcPr>
          <w:p w14:paraId="6CC0FD11" w14:textId="77777777" w:rsidR="0083583A" w:rsidRPr="00E4439F" w:rsidRDefault="0083583A" w:rsidP="00B70EE8">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JAČANJE LJUDSKIH POTENCIJALA NA LOKALNOJ RAZINI</w:t>
            </w:r>
          </w:p>
        </w:tc>
      </w:tr>
      <w:tr w:rsidR="0083583A" w:rsidRPr="00C0186C" w14:paraId="572FB1E5" w14:textId="77777777" w:rsidTr="00E414B7">
        <w:trPr>
          <w:trHeight w:val="582"/>
        </w:trPr>
        <w:tc>
          <w:tcPr>
            <w:tcW w:w="2547" w:type="dxa"/>
            <w:shd w:val="clear" w:color="auto" w:fill="DEEAF6" w:themeFill="accent1" w:themeFillTint="33"/>
            <w:noWrap/>
            <w:vAlign w:val="center"/>
          </w:tcPr>
          <w:p w14:paraId="5F7CE01F" w14:textId="77777777" w:rsidR="0083583A" w:rsidRPr="00C0186C" w:rsidRDefault="0083583A"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Područje djelovanja</w:t>
            </w:r>
          </w:p>
        </w:tc>
        <w:tc>
          <w:tcPr>
            <w:tcW w:w="7115" w:type="dxa"/>
            <w:shd w:val="clear" w:color="auto" w:fill="DEEAF6" w:themeFill="accent1" w:themeFillTint="33"/>
            <w:noWrap/>
            <w:vAlign w:val="center"/>
          </w:tcPr>
          <w:p w14:paraId="54AEF667" w14:textId="77777777" w:rsidR="0083583A" w:rsidRPr="00C0186C" w:rsidRDefault="0083583A" w:rsidP="00B70EE8">
            <w:pPr>
              <w:spacing w:before="0" w:after="0"/>
              <w:jc w:val="both"/>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Gospodarska </w:t>
            </w:r>
            <w:r w:rsidR="00722573" w:rsidRPr="00C0186C">
              <w:rPr>
                <w:rFonts w:ascii="Times New Roman" w:eastAsia="Times New Roman" w:hAnsi="Times New Roman" w:cs="Times New Roman"/>
                <w:b/>
                <w:bCs/>
                <w:sz w:val="24"/>
                <w:szCs w:val="24"/>
                <w:lang w:eastAsia="hr-HR"/>
              </w:rPr>
              <w:t xml:space="preserve">mjera: </w:t>
            </w:r>
            <w:r w:rsidRPr="00C0186C">
              <w:rPr>
                <w:rFonts w:ascii="Times New Roman" w:eastAsia="Times New Roman" w:hAnsi="Times New Roman" w:cs="Times New Roman"/>
                <w:b/>
                <w:bCs/>
                <w:sz w:val="24"/>
                <w:szCs w:val="24"/>
                <w:lang w:eastAsia="hr-HR"/>
              </w:rPr>
              <w:t>demografska mjera</w:t>
            </w:r>
          </w:p>
        </w:tc>
      </w:tr>
      <w:tr w:rsidR="0083583A" w:rsidRPr="00C0186C" w14:paraId="2A2C93A0" w14:textId="77777777" w:rsidTr="00D32164">
        <w:trPr>
          <w:trHeight w:val="300"/>
        </w:trPr>
        <w:tc>
          <w:tcPr>
            <w:tcW w:w="2547" w:type="dxa"/>
            <w:shd w:val="clear" w:color="auto" w:fill="DEEAF6" w:themeFill="accent1" w:themeFillTint="33"/>
            <w:noWrap/>
            <w:vAlign w:val="center"/>
          </w:tcPr>
          <w:p w14:paraId="5BC88E48" w14:textId="77777777" w:rsidR="0083583A" w:rsidRPr="00C0186C" w:rsidRDefault="0083583A"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Ishodi </w:t>
            </w:r>
          </w:p>
        </w:tc>
        <w:tc>
          <w:tcPr>
            <w:tcW w:w="7115" w:type="dxa"/>
            <w:shd w:val="clear" w:color="auto" w:fill="DEEAF6" w:themeFill="accent1" w:themeFillTint="33"/>
            <w:noWrap/>
            <w:vAlign w:val="center"/>
          </w:tcPr>
          <w:p w14:paraId="3807562B" w14:textId="77777777" w:rsidR="0083583A" w:rsidRPr="00C0186C" w:rsidRDefault="0083583A" w:rsidP="00B70EE8">
            <w:pPr>
              <w:spacing w:before="0" w:after="0"/>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Povećanje </w:t>
            </w:r>
            <w:r w:rsidR="006A356A" w:rsidRPr="00C0186C">
              <w:rPr>
                <w:rFonts w:ascii="Times New Roman" w:eastAsia="Times New Roman" w:hAnsi="Times New Roman" w:cs="Times New Roman"/>
                <w:b/>
                <w:bCs/>
                <w:sz w:val="24"/>
                <w:szCs w:val="24"/>
                <w:lang w:eastAsia="hr-HR"/>
              </w:rPr>
              <w:t>obrazovne</w:t>
            </w:r>
            <w:r w:rsidRPr="00C0186C">
              <w:rPr>
                <w:rFonts w:ascii="Times New Roman" w:eastAsia="Times New Roman" w:hAnsi="Times New Roman" w:cs="Times New Roman"/>
                <w:b/>
                <w:bCs/>
                <w:sz w:val="24"/>
                <w:szCs w:val="24"/>
                <w:lang w:eastAsia="hr-HR"/>
              </w:rPr>
              <w:t xml:space="preserve"> radno aktivne populacije</w:t>
            </w:r>
          </w:p>
          <w:p w14:paraId="0C818CAF" w14:textId="77777777" w:rsidR="0083583A" w:rsidRPr="00C0186C" w:rsidRDefault="0083583A" w:rsidP="00B70EE8">
            <w:pPr>
              <w:spacing w:before="0" w:after="0"/>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Povećanje razine sudjelovanja u cjeloživotnim programima</w:t>
            </w:r>
          </w:p>
          <w:p w14:paraId="60FEDFFA" w14:textId="77777777" w:rsidR="0083583A" w:rsidRPr="00C0186C" w:rsidRDefault="008C2690" w:rsidP="00B70EE8">
            <w:pPr>
              <w:spacing w:before="0" w:after="0"/>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Smanjenje sektorske</w:t>
            </w:r>
            <w:r w:rsidR="0083583A" w:rsidRPr="00C0186C">
              <w:rPr>
                <w:rFonts w:ascii="Times New Roman" w:eastAsia="Times New Roman" w:hAnsi="Times New Roman" w:cs="Times New Roman"/>
                <w:b/>
                <w:bCs/>
                <w:sz w:val="24"/>
                <w:szCs w:val="24"/>
                <w:lang w:eastAsia="hr-HR"/>
              </w:rPr>
              <w:t xml:space="preserve"> neravnoteže ponude i potražnje tržišta rada</w:t>
            </w:r>
          </w:p>
          <w:p w14:paraId="2CE361D3" w14:textId="77777777" w:rsidR="0083583A" w:rsidRPr="00C0186C" w:rsidRDefault="0083583A" w:rsidP="00B70EE8">
            <w:pPr>
              <w:spacing w:before="0" w:after="0"/>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Porast zaposlenosti socijalno ugroženih skupina</w:t>
            </w:r>
          </w:p>
        </w:tc>
      </w:tr>
      <w:tr w:rsidR="0083583A" w:rsidRPr="00C0186C" w14:paraId="02BD9F3F" w14:textId="77777777" w:rsidTr="00D32164">
        <w:trPr>
          <w:trHeight w:val="300"/>
        </w:trPr>
        <w:tc>
          <w:tcPr>
            <w:tcW w:w="2547" w:type="dxa"/>
            <w:shd w:val="clear" w:color="auto" w:fill="DEEAF6" w:themeFill="accent1" w:themeFillTint="33"/>
            <w:noWrap/>
            <w:vAlign w:val="center"/>
          </w:tcPr>
          <w:p w14:paraId="0B282EE7" w14:textId="77777777" w:rsidR="0083583A" w:rsidRPr="00C0186C" w:rsidRDefault="0083583A"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Aktivnosti/projekti </w:t>
            </w:r>
          </w:p>
        </w:tc>
        <w:tc>
          <w:tcPr>
            <w:tcW w:w="7115" w:type="dxa"/>
            <w:shd w:val="clear" w:color="auto" w:fill="DEEAF6" w:themeFill="accent1" w:themeFillTint="33"/>
            <w:noWrap/>
            <w:vAlign w:val="center"/>
          </w:tcPr>
          <w:p w14:paraId="1F9C1C3A" w14:textId="374AF4E6" w:rsidR="0083583A" w:rsidRPr="00C0186C" w:rsidRDefault="0083583A" w:rsidP="00B70EE8">
            <w:pPr>
              <w:numPr>
                <w:ilvl w:val="0"/>
                <w:numId w:val="8"/>
              </w:numPr>
              <w:spacing w:before="0" w:after="0"/>
              <w:contextualSpacing/>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Poticanje i razvoj programa formalnog i neformalnog obrazovanja u skladu s potrebama tržišta rada</w:t>
            </w:r>
          </w:p>
          <w:p w14:paraId="169DE9C8" w14:textId="1E096E04" w:rsidR="00FD698D" w:rsidRPr="006C4249" w:rsidRDefault="00263E48" w:rsidP="00B70EE8">
            <w:pPr>
              <w:pStyle w:val="ListParagraph"/>
              <w:numPr>
                <w:ilvl w:val="1"/>
                <w:numId w:val="26"/>
              </w:numPr>
              <w:spacing w:befor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3583A" w:rsidRPr="006C4249">
              <w:rPr>
                <w:rFonts w:ascii="Times New Roman" w:hAnsi="Times New Roman" w:cs="Times New Roman"/>
                <w:bCs/>
                <w:sz w:val="24"/>
                <w:szCs w:val="24"/>
              </w:rPr>
              <w:t>Sufinanciranje aktivnosti i programa poboljšanja poduzetničkih vještina kroz razne vidove izobrazbe poduzetnika</w:t>
            </w:r>
            <w:r w:rsidR="00C3081C" w:rsidRPr="006C4249">
              <w:rPr>
                <w:rFonts w:ascii="Times New Roman" w:hAnsi="Times New Roman" w:cs="Times New Roman"/>
                <w:bCs/>
                <w:sz w:val="24"/>
                <w:szCs w:val="24"/>
              </w:rPr>
              <w:t>;</w:t>
            </w:r>
          </w:p>
          <w:p w14:paraId="431E60F1" w14:textId="6ACE5EF3" w:rsidR="00FD698D" w:rsidRPr="006C4249" w:rsidRDefault="00263E48" w:rsidP="00B70EE8">
            <w:pPr>
              <w:pStyle w:val="ListParagraph"/>
              <w:numPr>
                <w:ilvl w:val="1"/>
                <w:numId w:val="26"/>
              </w:numPr>
              <w:spacing w:before="0"/>
              <w:jc w:val="both"/>
              <w:rPr>
                <w:rFonts w:ascii="Times New Roman" w:hAnsi="Times New Roman" w:cs="Times New Roman"/>
                <w:bCs/>
                <w:sz w:val="24"/>
                <w:szCs w:val="24"/>
              </w:rPr>
            </w:pPr>
            <w:r w:rsidRPr="006C4249">
              <w:rPr>
                <w:rFonts w:ascii="Times New Roman" w:hAnsi="Times New Roman" w:cs="Times New Roman"/>
                <w:bCs/>
                <w:sz w:val="24"/>
                <w:szCs w:val="24"/>
              </w:rPr>
              <w:t xml:space="preserve"> </w:t>
            </w:r>
            <w:r w:rsidR="00FD698D" w:rsidRPr="006C4249">
              <w:rPr>
                <w:rFonts w:ascii="Times New Roman" w:hAnsi="Times New Roman" w:cs="Times New Roman"/>
                <w:bCs/>
                <w:sz w:val="24"/>
                <w:szCs w:val="24"/>
              </w:rPr>
              <w:t>P</w:t>
            </w:r>
            <w:r w:rsidR="0083583A" w:rsidRPr="006C4249">
              <w:rPr>
                <w:rFonts w:ascii="Times New Roman" w:hAnsi="Times New Roman" w:cs="Times New Roman"/>
                <w:bCs/>
                <w:sz w:val="24"/>
                <w:szCs w:val="24"/>
              </w:rPr>
              <w:t>oticanje cjeloživotnog učenja</w:t>
            </w:r>
            <w:r w:rsidR="00FD698D" w:rsidRPr="006C4249">
              <w:rPr>
                <w:rFonts w:ascii="Times New Roman" w:hAnsi="Times New Roman" w:cs="Times New Roman"/>
                <w:bCs/>
                <w:sz w:val="24"/>
                <w:szCs w:val="24"/>
              </w:rPr>
              <w:t xml:space="preserve"> i</w:t>
            </w:r>
            <w:r w:rsidR="0083583A" w:rsidRPr="006C4249">
              <w:rPr>
                <w:rFonts w:ascii="Times New Roman" w:hAnsi="Times New Roman" w:cs="Times New Roman"/>
                <w:bCs/>
                <w:sz w:val="24"/>
                <w:szCs w:val="24"/>
              </w:rPr>
              <w:t xml:space="preserve"> obrazovanja u funkciji razvoja poduzetništva</w:t>
            </w:r>
            <w:r w:rsidR="00AA6C66" w:rsidRPr="006C4249">
              <w:rPr>
                <w:rFonts w:ascii="Times New Roman" w:hAnsi="Times New Roman" w:cs="Times New Roman"/>
                <w:bCs/>
                <w:sz w:val="24"/>
                <w:szCs w:val="24"/>
              </w:rPr>
              <w:t xml:space="preserve">: </w:t>
            </w:r>
            <w:r w:rsidR="0083583A" w:rsidRPr="006C4249">
              <w:rPr>
                <w:rFonts w:ascii="Times New Roman" w:hAnsi="Times New Roman" w:cs="Times New Roman"/>
                <w:bCs/>
                <w:sz w:val="24"/>
                <w:szCs w:val="24"/>
              </w:rPr>
              <w:t>studenti i učenici srednjih škola, razvoj lokalnog partnerstva za zapošljavanje, razvoj socijalnog poduzetništva</w:t>
            </w:r>
            <w:r w:rsidR="00C3081C" w:rsidRPr="006C4249">
              <w:rPr>
                <w:rFonts w:ascii="Times New Roman" w:hAnsi="Times New Roman" w:cs="Times New Roman"/>
                <w:bCs/>
                <w:sz w:val="24"/>
                <w:szCs w:val="24"/>
              </w:rPr>
              <w:t>;</w:t>
            </w:r>
          </w:p>
          <w:p w14:paraId="7F79DBBB" w14:textId="0A1D85C5" w:rsidR="0083583A" w:rsidRPr="006C4249" w:rsidRDefault="00263E48" w:rsidP="00263E48">
            <w:pPr>
              <w:pStyle w:val="ListParagraph"/>
              <w:numPr>
                <w:ilvl w:val="1"/>
                <w:numId w:val="26"/>
              </w:numPr>
              <w:spacing w:before="0" w:after="0"/>
              <w:jc w:val="both"/>
              <w:rPr>
                <w:rFonts w:ascii="Times New Roman" w:hAnsi="Times New Roman" w:cs="Times New Roman"/>
                <w:bCs/>
                <w:sz w:val="24"/>
                <w:szCs w:val="24"/>
              </w:rPr>
            </w:pPr>
            <w:r w:rsidRPr="006C4249">
              <w:rPr>
                <w:rFonts w:ascii="Times New Roman" w:hAnsi="Times New Roman" w:cs="Times New Roman"/>
                <w:bCs/>
                <w:sz w:val="24"/>
                <w:szCs w:val="24"/>
              </w:rPr>
              <w:t xml:space="preserve"> </w:t>
            </w:r>
            <w:r w:rsidR="0083583A" w:rsidRPr="006C4249">
              <w:rPr>
                <w:rFonts w:ascii="Times New Roman" w:hAnsi="Times New Roman" w:cs="Times New Roman"/>
                <w:bCs/>
                <w:sz w:val="24"/>
                <w:szCs w:val="24"/>
              </w:rPr>
              <w:t>Stipendiranje obrazovanja u okviru suradnje s lokalnim poduzetnicima i obrtnicima s posebnim naglaskom na deficitarna i tradicionalna zanimanja.</w:t>
            </w:r>
          </w:p>
          <w:p w14:paraId="00EFA181" w14:textId="77777777" w:rsidR="0083583A" w:rsidRPr="00C0186C" w:rsidRDefault="0083583A" w:rsidP="00B70EE8">
            <w:pPr>
              <w:spacing w:before="0" w:after="0"/>
              <w:ind w:left="720"/>
              <w:contextualSpacing/>
              <w:rPr>
                <w:rFonts w:ascii="Times New Roman" w:eastAsia="Times New Roman" w:hAnsi="Times New Roman" w:cs="Times New Roman"/>
                <w:b/>
                <w:bCs/>
                <w:sz w:val="24"/>
                <w:szCs w:val="24"/>
                <w:lang w:eastAsia="hr-HR"/>
              </w:rPr>
            </w:pPr>
          </w:p>
          <w:p w14:paraId="7A8ABC50" w14:textId="5A0782D2" w:rsidR="0083583A" w:rsidRPr="00263E48" w:rsidRDefault="0083583A" w:rsidP="00263E48">
            <w:pPr>
              <w:pStyle w:val="ListParagraph"/>
              <w:numPr>
                <w:ilvl w:val="0"/>
                <w:numId w:val="8"/>
              </w:numPr>
              <w:spacing w:before="0"/>
              <w:rPr>
                <w:rFonts w:ascii="Times New Roman" w:hAnsi="Times New Roman" w:cs="Times New Roman"/>
                <w:b/>
                <w:bCs/>
                <w:sz w:val="24"/>
                <w:szCs w:val="24"/>
              </w:rPr>
            </w:pPr>
            <w:r w:rsidRPr="00C0186C">
              <w:rPr>
                <w:rFonts w:ascii="Times New Roman" w:hAnsi="Times New Roman" w:cs="Times New Roman"/>
                <w:b/>
                <w:bCs/>
                <w:sz w:val="24"/>
                <w:szCs w:val="24"/>
              </w:rPr>
              <w:t xml:space="preserve">Mjere zapošljavanja, prekvalifikacije te obrazovanja ugroženih skupina </w:t>
            </w:r>
          </w:p>
          <w:p w14:paraId="37673A3D" w14:textId="29A182DA" w:rsidR="00C3081C" w:rsidRPr="006C4249" w:rsidRDefault="00263E48" w:rsidP="00B70EE8">
            <w:pPr>
              <w:pStyle w:val="ListParagraph"/>
              <w:numPr>
                <w:ilvl w:val="1"/>
                <w:numId w:val="33"/>
              </w:numPr>
              <w:spacing w:befor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3583A" w:rsidRPr="006C4249">
              <w:rPr>
                <w:rFonts w:ascii="Times New Roman" w:hAnsi="Times New Roman" w:cs="Times New Roman"/>
                <w:bCs/>
                <w:sz w:val="24"/>
                <w:szCs w:val="24"/>
              </w:rPr>
              <w:t xml:space="preserve">Sufinanciranje i stručna podrška provedbi aktivnosti i </w:t>
            </w:r>
          </w:p>
          <w:p w14:paraId="2FB9B766" w14:textId="78507902" w:rsidR="0083583A" w:rsidRPr="00C0186C" w:rsidRDefault="0083583A" w:rsidP="00B70EE8">
            <w:pPr>
              <w:pStyle w:val="ListParagraph"/>
              <w:spacing w:before="0"/>
              <w:ind w:left="1080"/>
              <w:jc w:val="both"/>
              <w:rPr>
                <w:rFonts w:ascii="Times New Roman" w:hAnsi="Times New Roman" w:cs="Times New Roman"/>
                <w:bCs/>
                <w:sz w:val="24"/>
                <w:szCs w:val="24"/>
              </w:rPr>
            </w:pPr>
            <w:r w:rsidRPr="006C4249">
              <w:rPr>
                <w:rFonts w:ascii="Times New Roman" w:hAnsi="Times New Roman" w:cs="Times New Roman"/>
                <w:bCs/>
                <w:sz w:val="24"/>
                <w:szCs w:val="24"/>
              </w:rPr>
              <w:t xml:space="preserve">programa zapošljavanja, </w:t>
            </w:r>
            <w:r w:rsidR="006A356A" w:rsidRPr="006C4249">
              <w:rPr>
                <w:rFonts w:ascii="Times New Roman" w:hAnsi="Times New Roman" w:cs="Times New Roman"/>
                <w:bCs/>
                <w:sz w:val="24"/>
                <w:szCs w:val="24"/>
              </w:rPr>
              <w:t xml:space="preserve">provedbi programa </w:t>
            </w:r>
            <w:r w:rsidRPr="006C4249">
              <w:rPr>
                <w:rFonts w:ascii="Times New Roman" w:hAnsi="Times New Roman" w:cs="Times New Roman"/>
                <w:bCs/>
                <w:sz w:val="24"/>
                <w:szCs w:val="24"/>
              </w:rPr>
              <w:t>prekvalifikacije</w:t>
            </w:r>
            <w:r w:rsidR="006A356A" w:rsidRPr="006C4249">
              <w:rPr>
                <w:rFonts w:ascii="Times New Roman" w:hAnsi="Times New Roman" w:cs="Times New Roman"/>
                <w:bCs/>
                <w:sz w:val="24"/>
                <w:szCs w:val="24"/>
              </w:rPr>
              <w:t>, osposobljavanja i usavršavanja dugotrajno nezaposlenih, mladih kao i ostalih ugroženih skupina.</w:t>
            </w:r>
            <w:r w:rsidR="006A356A" w:rsidRPr="00C0186C">
              <w:rPr>
                <w:rFonts w:ascii="Times New Roman" w:hAnsi="Times New Roman" w:cs="Times New Roman"/>
                <w:bCs/>
                <w:sz w:val="24"/>
                <w:szCs w:val="24"/>
              </w:rPr>
              <w:t xml:space="preserve"> </w:t>
            </w:r>
          </w:p>
        </w:tc>
      </w:tr>
      <w:tr w:rsidR="0083583A" w:rsidRPr="00C0186C" w14:paraId="2258F3BA" w14:textId="77777777" w:rsidTr="00E32A7A">
        <w:trPr>
          <w:trHeight w:val="715"/>
        </w:trPr>
        <w:tc>
          <w:tcPr>
            <w:tcW w:w="2547" w:type="dxa"/>
            <w:shd w:val="clear" w:color="auto" w:fill="5B9BD5" w:themeFill="accent1"/>
            <w:noWrap/>
            <w:vAlign w:val="center"/>
          </w:tcPr>
          <w:p w14:paraId="3F92E989" w14:textId="77777777" w:rsidR="0083583A" w:rsidRPr="00E4439F" w:rsidRDefault="0083583A" w:rsidP="00E32A7A">
            <w:pPr>
              <w:spacing w:before="0" w:after="0"/>
              <w:jc w:val="center"/>
              <w:rPr>
                <w:rFonts w:ascii="Times New Roman" w:eastAsia="Times New Roman" w:hAnsi="Times New Roman" w:cs="Times New Roman"/>
                <w:b/>
                <w:bCs/>
                <w:color w:val="FFFFFF" w:themeColor="background1"/>
                <w:sz w:val="24"/>
                <w:szCs w:val="24"/>
                <w:lang w:eastAsia="hr-HR"/>
              </w:rPr>
            </w:pPr>
            <w:bookmarkStart w:id="24" w:name="_Hlk34204834"/>
            <w:r w:rsidRPr="00E4439F">
              <w:rPr>
                <w:rFonts w:ascii="Times New Roman" w:eastAsia="Times New Roman" w:hAnsi="Times New Roman" w:cs="Times New Roman"/>
                <w:b/>
                <w:bCs/>
                <w:color w:val="FFFFFF" w:themeColor="background1"/>
                <w:sz w:val="24"/>
                <w:szCs w:val="24"/>
                <w:lang w:eastAsia="hr-HR"/>
              </w:rPr>
              <w:t>Mjera 1.3.</w:t>
            </w:r>
          </w:p>
        </w:tc>
        <w:tc>
          <w:tcPr>
            <w:tcW w:w="7115" w:type="dxa"/>
            <w:shd w:val="clear" w:color="auto" w:fill="5B9BD5" w:themeFill="accent1"/>
            <w:noWrap/>
            <w:vAlign w:val="center"/>
          </w:tcPr>
          <w:p w14:paraId="021608B7" w14:textId="77777777" w:rsidR="0083583A" w:rsidRPr="00E4439F" w:rsidRDefault="0083583A" w:rsidP="00E32A7A">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JAČANJE INSTITUCIONALNIH KAPACITETA LOKALNIH ZAJEDNICA</w:t>
            </w:r>
          </w:p>
        </w:tc>
      </w:tr>
      <w:bookmarkEnd w:id="24"/>
      <w:tr w:rsidR="0083583A" w:rsidRPr="00C0186C" w14:paraId="2406ACF0" w14:textId="77777777" w:rsidTr="00E414B7">
        <w:trPr>
          <w:trHeight w:val="728"/>
        </w:trPr>
        <w:tc>
          <w:tcPr>
            <w:tcW w:w="2547" w:type="dxa"/>
            <w:shd w:val="clear" w:color="auto" w:fill="DEEAF6" w:themeFill="accent1" w:themeFillTint="33"/>
            <w:noWrap/>
            <w:vAlign w:val="center"/>
          </w:tcPr>
          <w:p w14:paraId="498AF699" w14:textId="77777777" w:rsidR="0083583A" w:rsidRPr="00C0186C" w:rsidRDefault="0083583A" w:rsidP="00B70EE8">
            <w:pPr>
              <w:spacing w:before="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Područje djelovanja</w:t>
            </w:r>
          </w:p>
        </w:tc>
        <w:tc>
          <w:tcPr>
            <w:tcW w:w="7115" w:type="dxa"/>
            <w:shd w:val="clear" w:color="auto" w:fill="DEEAF6" w:themeFill="accent1" w:themeFillTint="33"/>
            <w:noWrap/>
            <w:vAlign w:val="center"/>
          </w:tcPr>
          <w:p w14:paraId="732315C2" w14:textId="77777777" w:rsidR="0083583A" w:rsidRPr="00C0186C" w:rsidRDefault="0083583A" w:rsidP="00E414B7">
            <w:pPr>
              <w:spacing w:before="0" w:after="0"/>
              <w:jc w:val="both"/>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Jačanje institucionalnog </w:t>
            </w:r>
            <w:r w:rsidR="00AA6C66" w:rsidRPr="00C0186C">
              <w:rPr>
                <w:rFonts w:ascii="Times New Roman" w:eastAsia="Times New Roman" w:hAnsi="Times New Roman" w:cs="Times New Roman"/>
                <w:b/>
                <w:bCs/>
                <w:sz w:val="24"/>
                <w:szCs w:val="24"/>
                <w:lang w:eastAsia="hr-HR"/>
              </w:rPr>
              <w:t>i administrativnog kapaciteta; f</w:t>
            </w:r>
            <w:r w:rsidRPr="00C0186C">
              <w:rPr>
                <w:rFonts w:ascii="Times New Roman" w:eastAsia="Times New Roman" w:hAnsi="Times New Roman" w:cs="Times New Roman"/>
                <w:b/>
                <w:bCs/>
                <w:sz w:val="24"/>
                <w:szCs w:val="24"/>
                <w:lang w:eastAsia="hr-HR"/>
              </w:rPr>
              <w:t xml:space="preserve">iskalna mjera </w:t>
            </w:r>
          </w:p>
        </w:tc>
      </w:tr>
      <w:tr w:rsidR="0083583A" w:rsidRPr="00C0186C" w14:paraId="047566E2" w14:textId="77777777" w:rsidTr="00D32164">
        <w:trPr>
          <w:trHeight w:val="300"/>
        </w:trPr>
        <w:tc>
          <w:tcPr>
            <w:tcW w:w="2547" w:type="dxa"/>
            <w:shd w:val="clear" w:color="auto" w:fill="DEEAF6" w:themeFill="accent1" w:themeFillTint="33"/>
            <w:noWrap/>
            <w:vAlign w:val="center"/>
          </w:tcPr>
          <w:p w14:paraId="2F253799" w14:textId="77777777" w:rsidR="0083583A" w:rsidRPr="00C0186C" w:rsidRDefault="0083583A" w:rsidP="00B70EE8">
            <w:pPr>
              <w:spacing w:before="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Ishodi </w:t>
            </w:r>
          </w:p>
        </w:tc>
        <w:tc>
          <w:tcPr>
            <w:tcW w:w="7115" w:type="dxa"/>
            <w:shd w:val="clear" w:color="auto" w:fill="DEEAF6" w:themeFill="accent1" w:themeFillTint="33"/>
            <w:noWrap/>
            <w:vAlign w:val="center"/>
          </w:tcPr>
          <w:p w14:paraId="41D2BC34" w14:textId="77777777" w:rsidR="0083583A" w:rsidRPr="00C0186C" w:rsidRDefault="0083583A" w:rsidP="00B70EE8">
            <w:pPr>
              <w:spacing w:before="0"/>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Povećanje standarda javnih usluga</w:t>
            </w:r>
          </w:p>
          <w:p w14:paraId="07989AC0" w14:textId="70D72F9B" w:rsidR="00051CD2" w:rsidRPr="00C0186C" w:rsidRDefault="0083583A" w:rsidP="00B70EE8">
            <w:pPr>
              <w:spacing w:before="0"/>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Poboljšanje poslovnog okruženja te inovacijskih kapaciteta lokalne zajednice</w:t>
            </w:r>
          </w:p>
        </w:tc>
      </w:tr>
      <w:tr w:rsidR="0083583A" w:rsidRPr="00C0186C" w14:paraId="1CEF44FE" w14:textId="77777777" w:rsidTr="00D32164">
        <w:trPr>
          <w:trHeight w:val="300"/>
        </w:trPr>
        <w:tc>
          <w:tcPr>
            <w:tcW w:w="2547" w:type="dxa"/>
            <w:shd w:val="clear" w:color="auto" w:fill="DEEAF6" w:themeFill="accent1" w:themeFillTint="33"/>
            <w:noWrap/>
            <w:vAlign w:val="center"/>
          </w:tcPr>
          <w:p w14:paraId="26F8A93F" w14:textId="77777777" w:rsidR="0083583A" w:rsidRPr="00C0186C" w:rsidRDefault="0083583A" w:rsidP="00B70EE8">
            <w:pPr>
              <w:spacing w:before="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Aktivnosti/projekti </w:t>
            </w:r>
          </w:p>
        </w:tc>
        <w:tc>
          <w:tcPr>
            <w:tcW w:w="7115" w:type="dxa"/>
            <w:shd w:val="clear" w:color="auto" w:fill="DEEAF6" w:themeFill="accent1" w:themeFillTint="33"/>
            <w:noWrap/>
            <w:vAlign w:val="center"/>
          </w:tcPr>
          <w:p w14:paraId="2C8191C2" w14:textId="77777777" w:rsidR="0083583A" w:rsidRPr="00C0186C" w:rsidRDefault="0083583A" w:rsidP="001630CD">
            <w:pPr>
              <w:pStyle w:val="ListParagraph"/>
              <w:numPr>
                <w:ilvl w:val="0"/>
                <w:numId w:val="27"/>
              </w:numPr>
              <w:spacing w:before="0" w:after="0"/>
              <w:ind w:left="323" w:hanging="283"/>
              <w:jc w:val="both"/>
              <w:rPr>
                <w:rFonts w:ascii="Times New Roman" w:hAnsi="Times New Roman" w:cs="Times New Roman"/>
                <w:b/>
                <w:sz w:val="24"/>
                <w:szCs w:val="24"/>
              </w:rPr>
            </w:pPr>
            <w:r w:rsidRPr="00C0186C">
              <w:rPr>
                <w:rFonts w:ascii="Times New Roman" w:hAnsi="Times New Roman" w:cs="Times New Roman"/>
                <w:b/>
                <w:sz w:val="24"/>
                <w:szCs w:val="24"/>
              </w:rPr>
              <w:t>Razvoj i unaprjeđenje kvalitete javnih usluga</w:t>
            </w:r>
          </w:p>
          <w:p w14:paraId="762463A5" w14:textId="77777777" w:rsidR="00FD698D" w:rsidRPr="00C0186C" w:rsidRDefault="0083583A" w:rsidP="00B70EE8">
            <w:pPr>
              <w:pStyle w:val="ListParagraph"/>
              <w:numPr>
                <w:ilvl w:val="1"/>
                <w:numId w:val="27"/>
              </w:numPr>
              <w:spacing w:before="0"/>
              <w:jc w:val="both"/>
              <w:rPr>
                <w:rFonts w:ascii="Times New Roman" w:hAnsi="Times New Roman" w:cs="Times New Roman"/>
                <w:sz w:val="24"/>
                <w:szCs w:val="24"/>
              </w:rPr>
            </w:pPr>
            <w:r w:rsidRPr="00C0186C">
              <w:rPr>
                <w:rFonts w:ascii="Times New Roman" w:hAnsi="Times New Roman" w:cs="Times New Roman"/>
                <w:sz w:val="24"/>
                <w:szCs w:val="24"/>
              </w:rPr>
              <w:t>Sufinanciranje te potpora u rješavanju imovinsko-pravnih odnosa (katastar i zemljišna knjiga)</w:t>
            </w:r>
            <w:r w:rsidR="00C3081C" w:rsidRPr="00C0186C">
              <w:rPr>
                <w:rFonts w:ascii="Times New Roman" w:hAnsi="Times New Roman" w:cs="Times New Roman"/>
                <w:sz w:val="24"/>
                <w:szCs w:val="24"/>
              </w:rPr>
              <w:t>;</w:t>
            </w:r>
          </w:p>
          <w:p w14:paraId="6D0FA920" w14:textId="77777777" w:rsidR="00FD698D" w:rsidRPr="00C0186C" w:rsidRDefault="00211ED9" w:rsidP="00B70EE8">
            <w:pPr>
              <w:pStyle w:val="ListParagraph"/>
              <w:numPr>
                <w:ilvl w:val="1"/>
                <w:numId w:val="27"/>
              </w:numPr>
              <w:spacing w:before="0"/>
              <w:jc w:val="both"/>
              <w:rPr>
                <w:rFonts w:ascii="Times New Roman" w:hAnsi="Times New Roman" w:cs="Times New Roman"/>
                <w:sz w:val="24"/>
                <w:szCs w:val="24"/>
              </w:rPr>
            </w:pPr>
            <w:r w:rsidRPr="00C0186C">
              <w:rPr>
                <w:rFonts w:ascii="Times New Roman" w:hAnsi="Times New Roman" w:cs="Times New Roman"/>
                <w:sz w:val="24"/>
                <w:szCs w:val="24"/>
              </w:rPr>
              <w:t>Poticanje projekata digitalizacije poslovanja lokalnih institucija te povećanja broja e-usluga za stanovništvo i njihovo uključivanje na državnu informacijsku infrastrukturu</w:t>
            </w:r>
            <w:r w:rsidR="00C3081C" w:rsidRPr="00C0186C">
              <w:rPr>
                <w:rFonts w:ascii="Times New Roman" w:hAnsi="Times New Roman" w:cs="Times New Roman"/>
                <w:sz w:val="24"/>
                <w:szCs w:val="24"/>
              </w:rPr>
              <w:t>;</w:t>
            </w:r>
          </w:p>
          <w:p w14:paraId="0CD82F08" w14:textId="77777777" w:rsidR="00FD698D" w:rsidRPr="00C0186C" w:rsidRDefault="0083583A" w:rsidP="00B70EE8">
            <w:pPr>
              <w:pStyle w:val="ListParagraph"/>
              <w:numPr>
                <w:ilvl w:val="1"/>
                <w:numId w:val="27"/>
              </w:numPr>
              <w:spacing w:before="0"/>
              <w:jc w:val="both"/>
              <w:rPr>
                <w:rFonts w:ascii="Times New Roman" w:hAnsi="Times New Roman" w:cs="Times New Roman"/>
                <w:sz w:val="24"/>
                <w:szCs w:val="24"/>
              </w:rPr>
            </w:pPr>
            <w:r w:rsidRPr="00C0186C">
              <w:rPr>
                <w:rFonts w:ascii="Times New Roman" w:hAnsi="Times New Roman" w:cs="Times New Roman"/>
                <w:sz w:val="24"/>
                <w:szCs w:val="24"/>
              </w:rPr>
              <w:t>Kreiranje javne infrastrukture za podršku dionicima lokalne zajednice</w:t>
            </w:r>
            <w:r w:rsidR="00AA6C66" w:rsidRPr="00C0186C">
              <w:rPr>
                <w:rFonts w:ascii="Times New Roman" w:hAnsi="Times New Roman" w:cs="Times New Roman"/>
                <w:sz w:val="24"/>
                <w:szCs w:val="24"/>
              </w:rPr>
              <w:t>:</w:t>
            </w:r>
            <w:r w:rsidRPr="00C0186C">
              <w:rPr>
                <w:rFonts w:ascii="Times New Roman" w:hAnsi="Times New Roman" w:cs="Times New Roman"/>
                <w:sz w:val="24"/>
                <w:szCs w:val="24"/>
              </w:rPr>
              <w:t xml:space="preserve"> javno dostupna internetska veza („</w:t>
            </w:r>
            <w:proofErr w:type="spellStart"/>
            <w:r w:rsidRPr="00C0186C">
              <w:rPr>
                <w:rFonts w:ascii="Times New Roman" w:hAnsi="Times New Roman" w:cs="Times New Roman"/>
                <w:sz w:val="24"/>
                <w:szCs w:val="24"/>
              </w:rPr>
              <w:t>wifi</w:t>
            </w:r>
            <w:proofErr w:type="spellEnd"/>
            <w:r w:rsidRPr="00C0186C">
              <w:rPr>
                <w:rFonts w:ascii="Times New Roman" w:hAnsi="Times New Roman" w:cs="Times New Roman"/>
                <w:sz w:val="24"/>
                <w:szCs w:val="24"/>
              </w:rPr>
              <w:t xml:space="preserve"> </w:t>
            </w:r>
            <w:proofErr w:type="spellStart"/>
            <w:r w:rsidRPr="00C0186C">
              <w:rPr>
                <w:rFonts w:ascii="Times New Roman" w:hAnsi="Times New Roman" w:cs="Times New Roman"/>
                <w:sz w:val="24"/>
                <w:szCs w:val="24"/>
              </w:rPr>
              <w:t>hotspot</w:t>
            </w:r>
            <w:proofErr w:type="spellEnd"/>
            <w:r w:rsidRPr="00C0186C">
              <w:rPr>
                <w:rFonts w:ascii="Times New Roman" w:hAnsi="Times New Roman" w:cs="Times New Roman"/>
                <w:sz w:val="24"/>
                <w:szCs w:val="24"/>
              </w:rPr>
              <w:t>)“</w:t>
            </w:r>
            <w:r w:rsidR="00C3081C" w:rsidRPr="00C0186C">
              <w:rPr>
                <w:rFonts w:ascii="Times New Roman" w:hAnsi="Times New Roman" w:cs="Times New Roman"/>
                <w:sz w:val="24"/>
                <w:szCs w:val="24"/>
              </w:rPr>
              <w:t>;</w:t>
            </w:r>
          </w:p>
          <w:p w14:paraId="5C9109DD" w14:textId="77777777" w:rsidR="00FD698D" w:rsidRPr="00C0186C" w:rsidRDefault="0083583A" w:rsidP="00B70EE8">
            <w:pPr>
              <w:pStyle w:val="ListParagraph"/>
              <w:numPr>
                <w:ilvl w:val="1"/>
                <w:numId w:val="27"/>
              </w:numPr>
              <w:spacing w:before="0"/>
              <w:jc w:val="both"/>
              <w:rPr>
                <w:rFonts w:ascii="Times New Roman" w:hAnsi="Times New Roman" w:cs="Times New Roman"/>
                <w:sz w:val="24"/>
                <w:szCs w:val="24"/>
              </w:rPr>
            </w:pPr>
            <w:r w:rsidRPr="00C0186C">
              <w:rPr>
                <w:rFonts w:ascii="Times New Roman" w:hAnsi="Times New Roman" w:cs="Times New Roman"/>
                <w:sz w:val="24"/>
                <w:szCs w:val="24"/>
              </w:rPr>
              <w:t xml:space="preserve">Edukacijske aktivnosti </w:t>
            </w:r>
            <w:r w:rsidR="008557DB" w:rsidRPr="00C0186C">
              <w:rPr>
                <w:rFonts w:ascii="Times New Roman" w:hAnsi="Times New Roman" w:cs="Times New Roman"/>
                <w:sz w:val="24"/>
                <w:szCs w:val="24"/>
              </w:rPr>
              <w:t>za provedbu projekata (upravljanje projektima, javna nabava, edukacije vezane za programe suzbijanja korupcije, planiranje i financiranje kapitalnih projekata)</w:t>
            </w:r>
            <w:r w:rsidR="00C3081C" w:rsidRPr="00C0186C">
              <w:rPr>
                <w:rFonts w:ascii="Times New Roman" w:hAnsi="Times New Roman" w:cs="Times New Roman"/>
                <w:sz w:val="24"/>
                <w:szCs w:val="24"/>
              </w:rPr>
              <w:t>;</w:t>
            </w:r>
          </w:p>
          <w:p w14:paraId="4A66B4C4" w14:textId="1AA780B5" w:rsidR="0083583A" w:rsidRPr="00B04998" w:rsidRDefault="0083583A" w:rsidP="00B04998">
            <w:pPr>
              <w:pStyle w:val="ListParagraph"/>
              <w:numPr>
                <w:ilvl w:val="1"/>
                <w:numId w:val="27"/>
              </w:numPr>
              <w:spacing w:before="0" w:after="0"/>
              <w:jc w:val="both"/>
              <w:rPr>
                <w:rFonts w:ascii="Times New Roman" w:hAnsi="Times New Roman" w:cs="Times New Roman"/>
                <w:sz w:val="24"/>
                <w:szCs w:val="24"/>
              </w:rPr>
            </w:pPr>
            <w:r w:rsidRPr="00C0186C">
              <w:rPr>
                <w:rFonts w:ascii="Times New Roman" w:hAnsi="Times New Roman" w:cs="Times New Roman"/>
                <w:sz w:val="24"/>
                <w:szCs w:val="24"/>
              </w:rPr>
              <w:t>Sufinanciranje ulaganja u deficitarne segmente društvene infrastrukture.</w:t>
            </w:r>
          </w:p>
          <w:p w14:paraId="6131971F" w14:textId="77777777" w:rsidR="0083583A" w:rsidRPr="00C0186C" w:rsidRDefault="0083583A" w:rsidP="001630CD">
            <w:pPr>
              <w:pStyle w:val="ListParagraph"/>
              <w:numPr>
                <w:ilvl w:val="0"/>
                <w:numId w:val="27"/>
              </w:numPr>
              <w:spacing w:before="0" w:after="0"/>
              <w:ind w:left="323" w:hanging="283"/>
              <w:jc w:val="both"/>
              <w:rPr>
                <w:rFonts w:ascii="Times New Roman" w:hAnsi="Times New Roman" w:cs="Times New Roman"/>
                <w:b/>
                <w:sz w:val="24"/>
                <w:szCs w:val="24"/>
              </w:rPr>
            </w:pPr>
            <w:r w:rsidRPr="00C0186C">
              <w:rPr>
                <w:rFonts w:ascii="Times New Roman" w:hAnsi="Times New Roman" w:cs="Times New Roman"/>
                <w:b/>
                <w:sz w:val="24"/>
                <w:szCs w:val="24"/>
              </w:rPr>
              <w:t xml:space="preserve">Jačanje inovacijskih, tehnoloških te tržišnih kapaciteta lokalne zajednice </w:t>
            </w:r>
          </w:p>
          <w:p w14:paraId="21344C26" w14:textId="77777777" w:rsidR="00C3081C" w:rsidRPr="00C0186C" w:rsidRDefault="00FD698D" w:rsidP="00B70EE8">
            <w:pPr>
              <w:spacing w:before="0"/>
              <w:ind w:left="720"/>
              <w:contextualSpacing/>
              <w:jc w:val="both"/>
              <w:rPr>
                <w:rFonts w:ascii="Times New Roman" w:eastAsia="Times New Roman" w:hAnsi="Times New Roman" w:cs="Times New Roman"/>
                <w:sz w:val="24"/>
                <w:szCs w:val="24"/>
                <w:lang w:eastAsia="hr-HR"/>
              </w:rPr>
            </w:pPr>
            <w:r w:rsidRPr="00C0186C">
              <w:rPr>
                <w:rFonts w:ascii="Times New Roman" w:eastAsia="Times New Roman" w:hAnsi="Times New Roman" w:cs="Times New Roman"/>
                <w:bCs/>
                <w:sz w:val="24"/>
                <w:szCs w:val="24"/>
                <w:lang w:eastAsia="hr-HR"/>
              </w:rPr>
              <w:t xml:space="preserve">2.1 </w:t>
            </w:r>
            <w:r w:rsidR="0083583A" w:rsidRPr="00C0186C">
              <w:rPr>
                <w:rFonts w:ascii="Times New Roman" w:eastAsia="Times New Roman" w:hAnsi="Times New Roman" w:cs="Times New Roman"/>
                <w:bCs/>
                <w:sz w:val="24"/>
                <w:szCs w:val="24"/>
                <w:lang w:eastAsia="hr-HR"/>
              </w:rPr>
              <w:t xml:space="preserve">Sufinanciranje aktivnosti i programa </w:t>
            </w:r>
            <w:r w:rsidR="0083583A" w:rsidRPr="00C0186C">
              <w:rPr>
                <w:rFonts w:ascii="Times New Roman" w:eastAsia="Times New Roman" w:hAnsi="Times New Roman" w:cs="Times New Roman"/>
                <w:sz w:val="24"/>
                <w:szCs w:val="24"/>
                <w:lang w:eastAsia="hr-HR"/>
              </w:rPr>
              <w:t xml:space="preserve">poticanja ulaganja u </w:t>
            </w:r>
          </w:p>
          <w:p w14:paraId="6E5A24CB" w14:textId="77777777" w:rsidR="00C3081C" w:rsidRPr="00C0186C" w:rsidRDefault="00C3081C" w:rsidP="00B70EE8">
            <w:pPr>
              <w:spacing w:before="0"/>
              <w:ind w:left="720"/>
              <w:contextualSpacing/>
              <w:jc w:val="both"/>
              <w:rPr>
                <w:rFonts w:ascii="Times New Roman" w:eastAsia="Times New Roman" w:hAnsi="Times New Roman" w:cs="Times New Roman"/>
                <w:sz w:val="24"/>
                <w:szCs w:val="24"/>
                <w:lang w:eastAsia="hr-HR"/>
              </w:rPr>
            </w:pPr>
            <w:r w:rsidRPr="00C0186C">
              <w:rPr>
                <w:rFonts w:ascii="Times New Roman" w:eastAsia="Times New Roman" w:hAnsi="Times New Roman" w:cs="Times New Roman"/>
                <w:sz w:val="24"/>
                <w:szCs w:val="24"/>
                <w:lang w:eastAsia="hr-HR"/>
              </w:rPr>
              <w:t xml:space="preserve">      </w:t>
            </w:r>
            <w:r w:rsidR="0083583A" w:rsidRPr="00C0186C">
              <w:rPr>
                <w:rFonts w:ascii="Times New Roman" w:eastAsia="Times New Roman" w:hAnsi="Times New Roman" w:cs="Times New Roman"/>
                <w:sz w:val="24"/>
                <w:szCs w:val="24"/>
                <w:lang w:eastAsia="hr-HR"/>
              </w:rPr>
              <w:t xml:space="preserve">istraživanje, razvoj i inovacije, certificiranja proizvoda i </w:t>
            </w:r>
            <w:r w:rsidRPr="00C0186C">
              <w:rPr>
                <w:rFonts w:ascii="Times New Roman" w:eastAsia="Times New Roman" w:hAnsi="Times New Roman" w:cs="Times New Roman"/>
                <w:sz w:val="24"/>
                <w:szCs w:val="24"/>
                <w:lang w:eastAsia="hr-HR"/>
              </w:rPr>
              <w:t xml:space="preserve">   </w:t>
            </w:r>
          </w:p>
          <w:p w14:paraId="13427B88" w14:textId="77777777" w:rsidR="0083583A" w:rsidRPr="00C0186C" w:rsidRDefault="00C3081C" w:rsidP="00B70EE8">
            <w:pPr>
              <w:spacing w:before="0"/>
              <w:ind w:left="720"/>
              <w:contextualSpacing/>
              <w:jc w:val="both"/>
              <w:rPr>
                <w:rFonts w:ascii="Times New Roman" w:eastAsia="Times New Roman" w:hAnsi="Times New Roman" w:cs="Times New Roman"/>
                <w:sz w:val="24"/>
                <w:szCs w:val="24"/>
                <w:lang w:eastAsia="hr-HR"/>
              </w:rPr>
            </w:pPr>
            <w:r w:rsidRPr="00C0186C">
              <w:rPr>
                <w:rFonts w:ascii="Times New Roman" w:eastAsia="Times New Roman" w:hAnsi="Times New Roman" w:cs="Times New Roman"/>
                <w:sz w:val="24"/>
                <w:szCs w:val="24"/>
                <w:lang w:eastAsia="hr-HR"/>
              </w:rPr>
              <w:t xml:space="preserve">      </w:t>
            </w:r>
            <w:r w:rsidR="0083583A" w:rsidRPr="00C0186C">
              <w:rPr>
                <w:rFonts w:ascii="Times New Roman" w:eastAsia="Times New Roman" w:hAnsi="Times New Roman" w:cs="Times New Roman"/>
                <w:sz w:val="24"/>
                <w:szCs w:val="24"/>
                <w:lang w:eastAsia="hr-HR"/>
              </w:rPr>
              <w:t>procesa</w:t>
            </w:r>
            <w:r w:rsidRPr="00C0186C">
              <w:rPr>
                <w:rFonts w:ascii="Times New Roman" w:eastAsia="Times New Roman" w:hAnsi="Times New Roman" w:cs="Times New Roman"/>
                <w:sz w:val="24"/>
                <w:szCs w:val="24"/>
                <w:lang w:eastAsia="hr-HR"/>
              </w:rPr>
              <w:t>;</w:t>
            </w:r>
          </w:p>
          <w:p w14:paraId="7889C694" w14:textId="77777777" w:rsidR="00C3081C" w:rsidRPr="00C0186C" w:rsidRDefault="0083583A" w:rsidP="00B70EE8">
            <w:pPr>
              <w:pStyle w:val="ListParagraph"/>
              <w:numPr>
                <w:ilvl w:val="1"/>
                <w:numId w:val="33"/>
              </w:numPr>
              <w:spacing w:before="0"/>
              <w:jc w:val="both"/>
              <w:rPr>
                <w:rFonts w:ascii="Times New Roman" w:hAnsi="Times New Roman" w:cs="Times New Roman"/>
                <w:sz w:val="24"/>
                <w:szCs w:val="24"/>
              </w:rPr>
            </w:pPr>
            <w:r w:rsidRPr="00C0186C">
              <w:rPr>
                <w:rFonts w:ascii="Times New Roman" w:hAnsi="Times New Roman" w:cs="Times New Roman"/>
                <w:sz w:val="24"/>
                <w:szCs w:val="24"/>
              </w:rPr>
              <w:t xml:space="preserve">Poticanje razvoja </w:t>
            </w:r>
            <w:proofErr w:type="spellStart"/>
            <w:r w:rsidRPr="00C0186C">
              <w:rPr>
                <w:rFonts w:ascii="Times New Roman" w:hAnsi="Times New Roman" w:cs="Times New Roman"/>
                <w:sz w:val="24"/>
                <w:szCs w:val="24"/>
              </w:rPr>
              <w:t>klastera</w:t>
            </w:r>
            <w:proofErr w:type="spellEnd"/>
            <w:r w:rsidRPr="00C0186C">
              <w:rPr>
                <w:rFonts w:ascii="Times New Roman" w:hAnsi="Times New Roman" w:cs="Times New Roman"/>
                <w:sz w:val="24"/>
                <w:szCs w:val="24"/>
              </w:rPr>
              <w:t>, udruga, poslovnih mreža i drugih</w:t>
            </w:r>
            <w:r w:rsidR="00C3081C" w:rsidRPr="00C0186C">
              <w:rPr>
                <w:rFonts w:ascii="Times New Roman" w:hAnsi="Times New Roman" w:cs="Times New Roman"/>
                <w:sz w:val="24"/>
                <w:szCs w:val="24"/>
              </w:rPr>
              <w:t xml:space="preserve"> </w:t>
            </w:r>
            <w:r w:rsidRPr="00C0186C">
              <w:rPr>
                <w:rFonts w:ascii="Times New Roman" w:hAnsi="Times New Roman" w:cs="Times New Roman"/>
                <w:sz w:val="24"/>
                <w:szCs w:val="24"/>
              </w:rPr>
              <w:t>oblika povezivanja poduzetnika u malom gospodarstvu</w:t>
            </w:r>
            <w:r w:rsidR="00C3081C" w:rsidRPr="00C0186C">
              <w:rPr>
                <w:rFonts w:ascii="Times New Roman" w:hAnsi="Times New Roman" w:cs="Times New Roman"/>
                <w:sz w:val="24"/>
                <w:szCs w:val="24"/>
              </w:rPr>
              <w:t>;</w:t>
            </w:r>
          </w:p>
          <w:p w14:paraId="5894021E" w14:textId="1848EFEC" w:rsidR="0083583A" w:rsidRPr="00C0186C" w:rsidRDefault="0083583A" w:rsidP="00B70EE8">
            <w:pPr>
              <w:pStyle w:val="ListParagraph"/>
              <w:numPr>
                <w:ilvl w:val="1"/>
                <w:numId w:val="33"/>
              </w:numPr>
              <w:spacing w:before="0" w:after="0"/>
              <w:jc w:val="both"/>
              <w:rPr>
                <w:rFonts w:ascii="Times New Roman" w:hAnsi="Times New Roman" w:cs="Times New Roman"/>
                <w:sz w:val="24"/>
                <w:szCs w:val="24"/>
              </w:rPr>
            </w:pPr>
            <w:r w:rsidRPr="00C0186C">
              <w:rPr>
                <w:rFonts w:ascii="Times New Roman" w:hAnsi="Times New Roman" w:cs="Times New Roman"/>
                <w:sz w:val="24"/>
                <w:szCs w:val="24"/>
              </w:rPr>
              <w:t>Poticanje suradnje udruga, akademske zajednice, privatnih poduzeća, javnog sektora te medija u funkciji realizacije gospodarskih projekata.</w:t>
            </w:r>
          </w:p>
          <w:p w14:paraId="41221788" w14:textId="77777777" w:rsidR="0083583A" w:rsidRPr="00C0186C" w:rsidRDefault="0083583A" w:rsidP="00B70EE8">
            <w:pPr>
              <w:spacing w:before="0" w:after="0"/>
              <w:ind w:left="720"/>
              <w:contextualSpacing/>
              <w:jc w:val="both"/>
              <w:rPr>
                <w:rFonts w:ascii="Times New Roman" w:eastAsia="Times New Roman" w:hAnsi="Times New Roman" w:cs="Times New Roman"/>
                <w:sz w:val="24"/>
                <w:szCs w:val="24"/>
                <w:lang w:eastAsia="hr-HR"/>
              </w:rPr>
            </w:pPr>
          </w:p>
          <w:p w14:paraId="53EDA60E" w14:textId="77777777" w:rsidR="0083583A" w:rsidRPr="00C0186C" w:rsidRDefault="0083583A" w:rsidP="001630CD">
            <w:pPr>
              <w:pStyle w:val="ListParagraph"/>
              <w:numPr>
                <w:ilvl w:val="0"/>
                <w:numId w:val="27"/>
              </w:numPr>
              <w:spacing w:before="0" w:after="0"/>
              <w:ind w:left="323" w:hanging="283"/>
              <w:jc w:val="both"/>
              <w:rPr>
                <w:rFonts w:ascii="Times New Roman" w:hAnsi="Times New Roman" w:cs="Times New Roman"/>
                <w:b/>
                <w:sz w:val="24"/>
                <w:szCs w:val="24"/>
              </w:rPr>
            </w:pPr>
            <w:r w:rsidRPr="00C0186C">
              <w:rPr>
                <w:rFonts w:ascii="Times New Roman" w:hAnsi="Times New Roman" w:cs="Times New Roman"/>
                <w:b/>
                <w:sz w:val="24"/>
                <w:szCs w:val="24"/>
              </w:rPr>
              <w:t>Razvoj povoljnog poslovnog okruženja</w:t>
            </w:r>
          </w:p>
          <w:p w14:paraId="5B564E44" w14:textId="77777777" w:rsidR="00C3081C" w:rsidRPr="00C0186C" w:rsidRDefault="0083583A" w:rsidP="00B70EE8">
            <w:pPr>
              <w:pStyle w:val="ListParagraph"/>
              <w:numPr>
                <w:ilvl w:val="1"/>
                <w:numId w:val="27"/>
              </w:numPr>
              <w:spacing w:before="0"/>
              <w:jc w:val="both"/>
              <w:rPr>
                <w:rFonts w:ascii="Times New Roman" w:hAnsi="Times New Roman" w:cs="Times New Roman"/>
                <w:sz w:val="24"/>
                <w:szCs w:val="24"/>
              </w:rPr>
            </w:pPr>
            <w:r w:rsidRPr="00C0186C">
              <w:rPr>
                <w:rFonts w:ascii="Times New Roman" w:hAnsi="Times New Roman" w:cs="Times New Roman"/>
                <w:sz w:val="24"/>
                <w:szCs w:val="24"/>
              </w:rPr>
              <w:t xml:space="preserve">Sufinanciranje te stručna podrška aktivnostima potpornih institucija u funkciji ubrzanja realizacije investicijskih aktivnosti privatnog sektora. </w:t>
            </w:r>
          </w:p>
          <w:p w14:paraId="54C17696" w14:textId="01AEC839" w:rsidR="0083583A" w:rsidRPr="00DA5109" w:rsidRDefault="0083583A" w:rsidP="00DA5109">
            <w:pPr>
              <w:pStyle w:val="ListParagraph"/>
              <w:numPr>
                <w:ilvl w:val="1"/>
                <w:numId w:val="27"/>
              </w:numPr>
              <w:spacing w:before="0"/>
              <w:jc w:val="both"/>
              <w:rPr>
                <w:rFonts w:ascii="Times New Roman" w:hAnsi="Times New Roman" w:cs="Times New Roman"/>
                <w:sz w:val="24"/>
                <w:szCs w:val="24"/>
              </w:rPr>
            </w:pPr>
            <w:r w:rsidRPr="00C0186C">
              <w:rPr>
                <w:rFonts w:ascii="Times New Roman" w:hAnsi="Times New Roman" w:cs="Times New Roman"/>
                <w:sz w:val="24"/>
                <w:szCs w:val="24"/>
              </w:rPr>
              <w:t xml:space="preserve">Poticanje programa transfera te implementacije novih tehnologija u poslovne procese svih lokalnih dionika.  </w:t>
            </w:r>
          </w:p>
        </w:tc>
      </w:tr>
      <w:tr w:rsidR="009D024F" w:rsidRPr="00C0186C" w14:paraId="31E59E2F" w14:textId="77777777" w:rsidTr="00A4421B">
        <w:trPr>
          <w:trHeight w:val="552"/>
        </w:trPr>
        <w:tc>
          <w:tcPr>
            <w:tcW w:w="2547" w:type="dxa"/>
            <w:shd w:val="clear" w:color="auto" w:fill="5B9BD5" w:themeFill="accent1"/>
            <w:noWrap/>
            <w:vAlign w:val="center"/>
          </w:tcPr>
          <w:p w14:paraId="22368F5B" w14:textId="77777777" w:rsidR="009D024F" w:rsidRPr="00E4439F" w:rsidRDefault="009D024F" w:rsidP="00263E48">
            <w:pPr>
              <w:spacing w:before="0" w:after="0"/>
              <w:jc w:val="center"/>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Mjera 1.4.</w:t>
            </w:r>
          </w:p>
        </w:tc>
        <w:tc>
          <w:tcPr>
            <w:tcW w:w="7115" w:type="dxa"/>
            <w:shd w:val="clear" w:color="auto" w:fill="5B9BD5" w:themeFill="accent1"/>
            <w:noWrap/>
            <w:vAlign w:val="center"/>
          </w:tcPr>
          <w:p w14:paraId="222649B0" w14:textId="77777777" w:rsidR="009D024F" w:rsidRPr="00E4439F" w:rsidRDefault="009D024F" w:rsidP="00263E48">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 xml:space="preserve">VEĆA APSORPCIJA EU FONDOVA </w:t>
            </w:r>
          </w:p>
        </w:tc>
      </w:tr>
      <w:tr w:rsidR="009D024F" w:rsidRPr="00C0186C" w14:paraId="440E2549" w14:textId="77777777" w:rsidTr="00D32164">
        <w:trPr>
          <w:trHeight w:val="300"/>
        </w:trPr>
        <w:tc>
          <w:tcPr>
            <w:tcW w:w="2547" w:type="dxa"/>
            <w:shd w:val="clear" w:color="auto" w:fill="DEEAF6" w:themeFill="accent1" w:themeFillTint="33"/>
            <w:noWrap/>
            <w:vAlign w:val="center"/>
          </w:tcPr>
          <w:p w14:paraId="50F24239" w14:textId="77777777" w:rsidR="009D024F" w:rsidRPr="00C0186C" w:rsidRDefault="009D024F" w:rsidP="00263E4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Područje djelovanja </w:t>
            </w:r>
          </w:p>
        </w:tc>
        <w:tc>
          <w:tcPr>
            <w:tcW w:w="7115" w:type="dxa"/>
            <w:shd w:val="clear" w:color="auto" w:fill="DEEAF6" w:themeFill="accent1" w:themeFillTint="33"/>
            <w:noWrap/>
            <w:vAlign w:val="center"/>
          </w:tcPr>
          <w:p w14:paraId="78E353AE" w14:textId="77777777" w:rsidR="009D024F" w:rsidRPr="00C0186C" w:rsidRDefault="009D024F" w:rsidP="00263E48">
            <w:pPr>
              <w:spacing w:before="0" w:after="0"/>
              <w:jc w:val="both"/>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Jačanje institucionalnih kapaciteta lokalnih zajednica; Gospodarska mjera </w:t>
            </w:r>
          </w:p>
        </w:tc>
      </w:tr>
      <w:tr w:rsidR="009D024F" w:rsidRPr="00C0186C" w14:paraId="3577E4C3" w14:textId="77777777" w:rsidTr="00D32164">
        <w:trPr>
          <w:trHeight w:val="300"/>
        </w:trPr>
        <w:tc>
          <w:tcPr>
            <w:tcW w:w="2547" w:type="dxa"/>
            <w:shd w:val="clear" w:color="auto" w:fill="DEEAF6" w:themeFill="accent1" w:themeFillTint="33"/>
            <w:noWrap/>
            <w:vAlign w:val="center"/>
          </w:tcPr>
          <w:p w14:paraId="6DB92AB9" w14:textId="77777777" w:rsidR="009D024F" w:rsidRPr="00C0186C" w:rsidRDefault="009D024F" w:rsidP="00263E4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Ishodi</w:t>
            </w:r>
          </w:p>
        </w:tc>
        <w:tc>
          <w:tcPr>
            <w:tcW w:w="7115" w:type="dxa"/>
            <w:shd w:val="clear" w:color="auto" w:fill="DEEAF6" w:themeFill="accent1" w:themeFillTint="33"/>
            <w:noWrap/>
            <w:vAlign w:val="center"/>
          </w:tcPr>
          <w:p w14:paraId="73A8E6CD" w14:textId="77777777" w:rsidR="009D024F" w:rsidRPr="00C0186C" w:rsidRDefault="009D024F" w:rsidP="00B70EE8">
            <w:pPr>
              <w:spacing w:before="0"/>
              <w:rPr>
                <w:rFonts w:ascii="Times New Roman" w:eastAsia="Times New Roman" w:hAnsi="Times New Roman" w:cs="Times New Roman"/>
                <w:sz w:val="24"/>
                <w:szCs w:val="24"/>
                <w:lang w:eastAsia="hr-HR"/>
              </w:rPr>
            </w:pPr>
            <w:r w:rsidRPr="00C0186C">
              <w:rPr>
                <w:rFonts w:ascii="Times New Roman" w:eastAsia="Times New Roman" w:hAnsi="Times New Roman" w:cs="Times New Roman"/>
                <w:b/>
                <w:bCs/>
                <w:color w:val="000000"/>
                <w:kern w:val="24"/>
                <w:sz w:val="24"/>
                <w:szCs w:val="24"/>
                <w:lang w:eastAsia="hr-HR"/>
              </w:rPr>
              <w:t>Povećanje zaposlenosti;</w:t>
            </w:r>
            <w:r w:rsidRPr="00C0186C">
              <w:rPr>
                <w:rFonts w:ascii="Times New Roman" w:eastAsia="Times New Roman" w:hAnsi="Times New Roman" w:cs="Times New Roman"/>
                <w:color w:val="292934"/>
                <w:kern w:val="24"/>
                <w:sz w:val="24"/>
                <w:szCs w:val="24"/>
                <w:lang w:eastAsia="hr-HR"/>
              </w:rPr>
              <w:t xml:space="preserve"> </w:t>
            </w:r>
            <w:r w:rsidRPr="00C0186C">
              <w:rPr>
                <w:rFonts w:ascii="Times New Roman" w:eastAsia="Times New Roman" w:hAnsi="Times New Roman" w:cs="Times New Roman"/>
                <w:b/>
                <w:bCs/>
                <w:color w:val="000000"/>
                <w:kern w:val="24"/>
                <w:sz w:val="24"/>
                <w:szCs w:val="24"/>
                <w:lang w:eastAsia="hr-HR"/>
              </w:rPr>
              <w:t>Porast broja poduzetnika i obrtnika;</w:t>
            </w:r>
          </w:p>
          <w:p w14:paraId="11D1B776" w14:textId="0A4A4F2A" w:rsidR="009D024F" w:rsidRPr="00C0186C" w:rsidRDefault="009D024F" w:rsidP="00263E48">
            <w:pPr>
              <w:spacing w:before="0" w:after="0"/>
              <w:rPr>
                <w:rFonts w:ascii="Times New Roman" w:eastAsia="Times New Roman" w:hAnsi="Times New Roman" w:cs="Times New Roman"/>
                <w:sz w:val="24"/>
                <w:szCs w:val="24"/>
                <w:lang w:eastAsia="hr-HR"/>
              </w:rPr>
            </w:pPr>
            <w:r w:rsidRPr="00C0186C">
              <w:rPr>
                <w:rFonts w:ascii="Times New Roman" w:eastAsia="Times New Roman" w:hAnsi="Times New Roman" w:cs="Times New Roman"/>
                <w:b/>
                <w:bCs/>
                <w:color w:val="000000"/>
                <w:kern w:val="24"/>
                <w:sz w:val="24"/>
                <w:szCs w:val="24"/>
                <w:lang w:eastAsia="hr-HR"/>
              </w:rPr>
              <w:t>Povećanje kapaciteta lokalnih proračuna</w:t>
            </w:r>
          </w:p>
        </w:tc>
      </w:tr>
      <w:tr w:rsidR="009D024F" w:rsidRPr="00C0186C" w14:paraId="3D7315C2" w14:textId="77777777" w:rsidTr="00FF2108">
        <w:trPr>
          <w:trHeight w:val="983"/>
        </w:trPr>
        <w:tc>
          <w:tcPr>
            <w:tcW w:w="2547" w:type="dxa"/>
            <w:shd w:val="clear" w:color="auto" w:fill="DEEAF6" w:themeFill="accent1" w:themeFillTint="33"/>
            <w:noWrap/>
            <w:vAlign w:val="center"/>
          </w:tcPr>
          <w:p w14:paraId="538FDDD6" w14:textId="77777777" w:rsidR="009D024F" w:rsidRPr="00C0186C" w:rsidRDefault="009D024F" w:rsidP="00B70EE8">
            <w:pPr>
              <w:spacing w:before="0" w:after="0"/>
              <w:jc w:val="center"/>
              <w:rPr>
                <w:rFonts w:ascii="Times New Roman" w:eastAsia="Times New Roman" w:hAnsi="Times New Roman" w:cs="Times New Roman"/>
                <w:b/>
                <w:bCs/>
                <w:sz w:val="24"/>
                <w:szCs w:val="24"/>
                <w:lang w:eastAsia="hr-HR"/>
              </w:rPr>
            </w:pPr>
            <w:r w:rsidRPr="00C0186C">
              <w:rPr>
                <w:rFonts w:ascii="Times New Roman" w:eastAsia="Times New Roman" w:hAnsi="Times New Roman" w:cs="Times New Roman"/>
                <w:b/>
                <w:bCs/>
                <w:sz w:val="24"/>
                <w:szCs w:val="24"/>
                <w:lang w:eastAsia="hr-HR"/>
              </w:rPr>
              <w:t xml:space="preserve">Aktivnosti/projekti </w:t>
            </w:r>
          </w:p>
        </w:tc>
        <w:tc>
          <w:tcPr>
            <w:tcW w:w="7115" w:type="dxa"/>
            <w:shd w:val="clear" w:color="auto" w:fill="DEEAF6" w:themeFill="accent1" w:themeFillTint="33"/>
            <w:noWrap/>
            <w:vAlign w:val="center"/>
          </w:tcPr>
          <w:p w14:paraId="513E4224" w14:textId="7F56825B" w:rsidR="00C3081C" w:rsidRPr="00C0186C" w:rsidRDefault="009D024F" w:rsidP="001630CD">
            <w:pPr>
              <w:pStyle w:val="ListParagraph"/>
              <w:numPr>
                <w:ilvl w:val="0"/>
                <w:numId w:val="40"/>
              </w:numPr>
              <w:spacing w:before="0"/>
              <w:ind w:left="323" w:hanging="283"/>
              <w:jc w:val="both"/>
              <w:rPr>
                <w:rFonts w:ascii="Times New Roman" w:hAnsi="Times New Roman" w:cs="Times New Roman"/>
                <w:b/>
                <w:sz w:val="24"/>
                <w:szCs w:val="24"/>
              </w:rPr>
            </w:pPr>
            <w:r w:rsidRPr="00C0186C">
              <w:rPr>
                <w:rFonts w:ascii="Times New Roman" w:hAnsi="Times New Roman" w:cs="Times New Roman"/>
                <w:b/>
                <w:sz w:val="24"/>
                <w:szCs w:val="24"/>
              </w:rPr>
              <w:t>Podizanje razine znanja i vještina zaposlenih u JLS</w:t>
            </w:r>
            <w:r w:rsidR="00A2129C" w:rsidRPr="00C0186C">
              <w:rPr>
                <w:rFonts w:ascii="Times New Roman" w:hAnsi="Times New Roman" w:cs="Times New Roman"/>
                <w:b/>
                <w:sz w:val="24"/>
                <w:szCs w:val="24"/>
              </w:rPr>
              <w:t>-ovima</w:t>
            </w:r>
            <w:r w:rsidRPr="00C0186C">
              <w:rPr>
                <w:rFonts w:ascii="Times New Roman" w:hAnsi="Times New Roman" w:cs="Times New Roman"/>
                <w:b/>
                <w:sz w:val="24"/>
                <w:szCs w:val="24"/>
              </w:rPr>
              <w:t xml:space="preserve"> na pripremi i provođenju projekata sufinanciranih iz EU fondova</w:t>
            </w:r>
          </w:p>
          <w:p w14:paraId="49F5BDF4" w14:textId="24857E95" w:rsidR="006E4E59" w:rsidRDefault="009D024F" w:rsidP="00CA63B9">
            <w:pPr>
              <w:pStyle w:val="ListParagraph"/>
              <w:numPr>
                <w:ilvl w:val="1"/>
                <w:numId w:val="40"/>
              </w:numPr>
              <w:spacing w:before="0"/>
              <w:ind w:left="1137"/>
              <w:jc w:val="both"/>
              <w:rPr>
                <w:rFonts w:ascii="Times New Roman" w:hAnsi="Times New Roman" w:cs="Times New Roman"/>
                <w:bCs/>
                <w:sz w:val="24"/>
                <w:szCs w:val="24"/>
              </w:rPr>
            </w:pPr>
            <w:r w:rsidRPr="00C0186C">
              <w:rPr>
                <w:rFonts w:ascii="Times New Roman" w:hAnsi="Times New Roman" w:cs="Times New Roman"/>
                <w:bCs/>
                <w:sz w:val="24"/>
                <w:szCs w:val="24"/>
              </w:rPr>
              <w:t xml:space="preserve">Edukacijske aktivnosti i projekti u funkciji podizanja razine </w:t>
            </w:r>
            <w:r w:rsidR="00C3081C" w:rsidRPr="00C0186C">
              <w:rPr>
                <w:rFonts w:ascii="Times New Roman" w:hAnsi="Times New Roman" w:cs="Times New Roman"/>
                <w:bCs/>
                <w:sz w:val="24"/>
                <w:szCs w:val="24"/>
              </w:rPr>
              <w:t xml:space="preserve">   </w:t>
            </w:r>
            <w:r w:rsidRPr="00C0186C">
              <w:rPr>
                <w:rFonts w:ascii="Times New Roman" w:hAnsi="Times New Roman" w:cs="Times New Roman"/>
                <w:bCs/>
                <w:sz w:val="24"/>
                <w:szCs w:val="24"/>
              </w:rPr>
              <w:t xml:space="preserve">znanja i </w:t>
            </w:r>
            <w:r w:rsidR="00C3081C" w:rsidRPr="00C0186C">
              <w:rPr>
                <w:rFonts w:ascii="Times New Roman" w:hAnsi="Times New Roman" w:cs="Times New Roman"/>
                <w:bCs/>
                <w:sz w:val="24"/>
                <w:szCs w:val="24"/>
              </w:rPr>
              <w:t>v</w:t>
            </w:r>
            <w:r w:rsidRPr="00C0186C">
              <w:rPr>
                <w:rFonts w:ascii="Times New Roman" w:hAnsi="Times New Roman" w:cs="Times New Roman"/>
                <w:bCs/>
                <w:sz w:val="24"/>
                <w:szCs w:val="24"/>
              </w:rPr>
              <w:t>ještina zaposlenih u JLS</w:t>
            </w:r>
            <w:r w:rsidR="00A2129C" w:rsidRPr="00C0186C">
              <w:rPr>
                <w:rFonts w:ascii="Times New Roman" w:hAnsi="Times New Roman" w:cs="Times New Roman"/>
                <w:bCs/>
                <w:sz w:val="24"/>
                <w:szCs w:val="24"/>
              </w:rPr>
              <w:t>-ovima</w:t>
            </w:r>
            <w:r w:rsidRPr="00C0186C">
              <w:rPr>
                <w:rFonts w:ascii="Times New Roman" w:hAnsi="Times New Roman" w:cs="Times New Roman"/>
                <w:bCs/>
                <w:sz w:val="24"/>
                <w:szCs w:val="24"/>
              </w:rPr>
              <w:t xml:space="preserve"> u okviru pripreme i provedbe projekata sufinanciranih bespovratnim sredstvima EU</w:t>
            </w:r>
          </w:p>
          <w:p w14:paraId="3055D7A5" w14:textId="77777777" w:rsidR="00263E48" w:rsidRPr="00C0186C" w:rsidRDefault="00263E48" w:rsidP="00263E48">
            <w:pPr>
              <w:pStyle w:val="ListParagraph"/>
              <w:spacing w:before="0"/>
              <w:ind w:left="780"/>
              <w:jc w:val="both"/>
              <w:rPr>
                <w:rFonts w:ascii="Times New Roman" w:hAnsi="Times New Roman" w:cs="Times New Roman"/>
                <w:bCs/>
                <w:sz w:val="24"/>
                <w:szCs w:val="24"/>
              </w:rPr>
            </w:pPr>
          </w:p>
          <w:p w14:paraId="2871B513" w14:textId="3F99DC8D" w:rsidR="009D024F" w:rsidRPr="00C0186C" w:rsidRDefault="009D024F" w:rsidP="001630CD">
            <w:pPr>
              <w:pStyle w:val="ListParagraph"/>
              <w:numPr>
                <w:ilvl w:val="0"/>
                <w:numId w:val="40"/>
              </w:numPr>
              <w:spacing w:before="0"/>
              <w:ind w:left="323" w:hanging="283"/>
              <w:jc w:val="both"/>
              <w:rPr>
                <w:rFonts w:ascii="Times New Roman" w:hAnsi="Times New Roman" w:cs="Times New Roman"/>
                <w:b/>
                <w:sz w:val="24"/>
                <w:szCs w:val="24"/>
              </w:rPr>
            </w:pPr>
            <w:r w:rsidRPr="00C0186C">
              <w:rPr>
                <w:rFonts w:ascii="Times New Roman" w:hAnsi="Times New Roman" w:cs="Times New Roman"/>
                <w:b/>
                <w:sz w:val="24"/>
                <w:szCs w:val="24"/>
              </w:rPr>
              <w:t>Podizanje razine stručnih znanja i vještina zaposlenih u sektoru poduzetništva i obrtništva za pripremu i provođenje projekata sufinanciranih iz EU fondova</w:t>
            </w:r>
          </w:p>
          <w:p w14:paraId="67F951D6" w14:textId="22C18563" w:rsidR="00B04998" w:rsidRDefault="009D024F" w:rsidP="00B70EE8">
            <w:pPr>
              <w:pStyle w:val="ListParagraph"/>
              <w:numPr>
                <w:ilvl w:val="1"/>
                <w:numId w:val="40"/>
              </w:numPr>
              <w:spacing w:before="0" w:after="0"/>
              <w:ind w:left="1279" w:hanging="567"/>
              <w:jc w:val="both"/>
              <w:rPr>
                <w:rFonts w:ascii="Times New Roman" w:hAnsi="Times New Roman" w:cs="Times New Roman"/>
                <w:sz w:val="24"/>
                <w:szCs w:val="24"/>
              </w:rPr>
            </w:pPr>
            <w:r w:rsidRPr="00C0186C">
              <w:rPr>
                <w:rFonts w:ascii="Times New Roman" w:hAnsi="Times New Roman" w:cs="Times New Roman"/>
                <w:sz w:val="24"/>
                <w:szCs w:val="24"/>
              </w:rPr>
              <w:t>Edukacijske aktivnosti i projekti u funkciji podizanja razine znanja i vještina zaposlenih u poduzetništvu i obrtništvu u okviru pripreme i provedbe projekata sufinanciranih bespovratnim</w:t>
            </w:r>
            <w:r w:rsidR="00C3081C" w:rsidRPr="00C0186C">
              <w:rPr>
                <w:rFonts w:ascii="Times New Roman" w:hAnsi="Times New Roman" w:cs="Times New Roman"/>
                <w:sz w:val="24"/>
                <w:szCs w:val="24"/>
              </w:rPr>
              <w:t xml:space="preserve"> </w:t>
            </w:r>
            <w:r w:rsidRPr="00C0186C">
              <w:rPr>
                <w:rFonts w:ascii="Times New Roman" w:hAnsi="Times New Roman" w:cs="Times New Roman"/>
                <w:sz w:val="24"/>
                <w:szCs w:val="24"/>
              </w:rPr>
              <w:t>sredstvima EU</w:t>
            </w:r>
            <w:r w:rsidR="00990859" w:rsidRPr="00C0186C">
              <w:rPr>
                <w:rFonts w:ascii="Times New Roman" w:hAnsi="Times New Roman" w:cs="Times New Roman"/>
                <w:sz w:val="24"/>
                <w:szCs w:val="24"/>
              </w:rPr>
              <w:t>.</w:t>
            </w:r>
          </w:p>
          <w:p w14:paraId="7526F590" w14:textId="77777777" w:rsidR="00A4421B" w:rsidRPr="00A4421B" w:rsidRDefault="00A4421B" w:rsidP="00A4421B">
            <w:pPr>
              <w:pStyle w:val="ListParagraph"/>
              <w:spacing w:before="0" w:after="0"/>
              <w:ind w:left="1279"/>
              <w:jc w:val="both"/>
              <w:rPr>
                <w:rFonts w:ascii="Times New Roman" w:hAnsi="Times New Roman" w:cs="Times New Roman"/>
                <w:sz w:val="24"/>
                <w:szCs w:val="24"/>
              </w:rPr>
            </w:pPr>
          </w:p>
          <w:p w14:paraId="05235D04" w14:textId="4788A55F" w:rsidR="009D024F" w:rsidRPr="00C0186C" w:rsidRDefault="009D024F" w:rsidP="001630CD">
            <w:pPr>
              <w:pStyle w:val="ListParagraph"/>
              <w:numPr>
                <w:ilvl w:val="0"/>
                <w:numId w:val="40"/>
              </w:numPr>
              <w:spacing w:before="0"/>
              <w:ind w:left="323" w:hanging="283"/>
              <w:rPr>
                <w:rFonts w:ascii="Times New Roman" w:hAnsi="Times New Roman" w:cs="Times New Roman"/>
                <w:b/>
                <w:sz w:val="24"/>
                <w:szCs w:val="24"/>
              </w:rPr>
            </w:pPr>
            <w:r w:rsidRPr="00C0186C">
              <w:rPr>
                <w:rFonts w:ascii="Times New Roman" w:hAnsi="Times New Roman" w:cs="Times New Roman"/>
                <w:b/>
                <w:sz w:val="24"/>
                <w:szCs w:val="24"/>
              </w:rPr>
              <w:t xml:space="preserve">Sufinanciranje izrade projektne dokumentacije za financiranje projekata iz EU fondova namijenjenih razvoju </w:t>
            </w:r>
            <w:r w:rsidR="008C09CF" w:rsidRPr="00C0186C">
              <w:rPr>
                <w:rFonts w:ascii="Times New Roman" w:hAnsi="Times New Roman" w:cs="Times New Roman"/>
                <w:b/>
                <w:sz w:val="24"/>
                <w:szCs w:val="24"/>
              </w:rPr>
              <w:t>javne infrastrukture</w:t>
            </w:r>
          </w:p>
          <w:p w14:paraId="780A04C2" w14:textId="54DA1B7A" w:rsidR="001630CD" w:rsidRDefault="009D024F" w:rsidP="00B04998">
            <w:pPr>
              <w:pStyle w:val="ListParagraph"/>
              <w:numPr>
                <w:ilvl w:val="1"/>
                <w:numId w:val="40"/>
              </w:numPr>
              <w:spacing w:before="0" w:after="0"/>
              <w:ind w:left="1279" w:hanging="567"/>
              <w:rPr>
                <w:rFonts w:ascii="Times New Roman" w:hAnsi="Times New Roman" w:cs="Times New Roman"/>
                <w:bCs/>
                <w:sz w:val="24"/>
                <w:szCs w:val="24"/>
              </w:rPr>
            </w:pPr>
            <w:r w:rsidRPr="00C0186C">
              <w:rPr>
                <w:rFonts w:ascii="Times New Roman" w:hAnsi="Times New Roman" w:cs="Times New Roman"/>
                <w:bCs/>
                <w:sz w:val="24"/>
                <w:szCs w:val="24"/>
              </w:rPr>
              <w:t>Poticanje i sufinanciranje izrade projektne dokumentacije za</w:t>
            </w:r>
            <w:r w:rsidR="00581301" w:rsidRPr="00C0186C">
              <w:rPr>
                <w:rFonts w:ascii="Times New Roman" w:hAnsi="Times New Roman" w:cs="Times New Roman"/>
                <w:bCs/>
                <w:sz w:val="24"/>
                <w:szCs w:val="24"/>
              </w:rPr>
              <w:t xml:space="preserve"> </w:t>
            </w:r>
            <w:r w:rsidRPr="00C0186C">
              <w:rPr>
                <w:rFonts w:ascii="Times New Roman" w:hAnsi="Times New Roman" w:cs="Times New Roman"/>
                <w:bCs/>
                <w:sz w:val="24"/>
                <w:szCs w:val="24"/>
              </w:rPr>
              <w:t>prijavu na</w:t>
            </w:r>
            <w:r w:rsidR="00005828" w:rsidRPr="00C0186C">
              <w:rPr>
                <w:rFonts w:ascii="Times New Roman" w:hAnsi="Times New Roman" w:cs="Times New Roman"/>
                <w:bCs/>
                <w:sz w:val="24"/>
                <w:szCs w:val="24"/>
              </w:rPr>
              <w:t xml:space="preserve"> projekte</w:t>
            </w:r>
            <w:r w:rsidRPr="00C0186C">
              <w:rPr>
                <w:rFonts w:ascii="Times New Roman" w:hAnsi="Times New Roman" w:cs="Times New Roman"/>
                <w:bCs/>
                <w:sz w:val="24"/>
                <w:szCs w:val="24"/>
              </w:rPr>
              <w:t xml:space="preserve"> EU </w:t>
            </w:r>
            <w:r w:rsidR="00005828" w:rsidRPr="00C0186C">
              <w:rPr>
                <w:rFonts w:ascii="Times New Roman" w:hAnsi="Times New Roman" w:cs="Times New Roman"/>
                <w:bCs/>
                <w:sz w:val="24"/>
                <w:szCs w:val="24"/>
              </w:rPr>
              <w:t>fondova</w:t>
            </w:r>
            <w:r w:rsidRPr="00C0186C">
              <w:rPr>
                <w:rFonts w:ascii="Times New Roman" w:hAnsi="Times New Roman" w:cs="Times New Roman"/>
                <w:bCs/>
                <w:sz w:val="24"/>
                <w:szCs w:val="24"/>
              </w:rPr>
              <w:t xml:space="preserve"> čiji su nositelji</w:t>
            </w:r>
            <w:r w:rsidR="0029576D" w:rsidRPr="00C0186C">
              <w:rPr>
                <w:rFonts w:ascii="Times New Roman" w:eastAsia="Times New Roman" w:hAnsi="Times New Roman" w:cs="Times New Roman"/>
                <w:bCs/>
                <w:sz w:val="24"/>
                <w:szCs w:val="24"/>
                <w:lang w:eastAsia="hr-HR"/>
              </w:rPr>
              <w:t xml:space="preserve"> jedinice lokalne</w:t>
            </w:r>
            <w:r w:rsidR="00581301" w:rsidRPr="00C0186C">
              <w:rPr>
                <w:rFonts w:ascii="Times New Roman" w:eastAsia="Times New Roman" w:hAnsi="Times New Roman" w:cs="Times New Roman"/>
                <w:bCs/>
                <w:sz w:val="24"/>
                <w:szCs w:val="24"/>
                <w:lang w:eastAsia="hr-HR"/>
              </w:rPr>
              <w:t xml:space="preserve"> i</w:t>
            </w:r>
            <w:r w:rsidR="0029576D" w:rsidRPr="00C0186C">
              <w:rPr>
                <w:rFonts w:ascii="Times New Roman" w:eastAsia="Times New Roman" w:hAnsi="Times New Roman" w:cs="Times New Roman"/>
                <w:bCs/>
                <w:sz w:val="24"/>
                <w:szCs w:val="24"/>
                <w:lang w:eastAsia="hr-HR"/>
              </w:rPr>
              <w:t xml:space="preserve"> područne (regionalne) samouprave</w:t>
            </w:r>
            <w:r w:rsidRPr="00C0186C">
              <w:rPr>
                <w:rFonts w:ascii="Times New Roman" w:hAnsi="Times New Roman" w:cs="Times New Roman"/>
                <w:bCs/>
                <w:sz w:val="24"/>
                <w:szCs w:val="24"/>
              </w:rPr>
              <w:t xml:space="preserve"> </w:t>
            </w:r>
            <w:r w:rsidR="008C09CF" w:rsidRPr="00C0186C">
              <w:rPr>
                <w:rFonts w:ascii="Times New Roman" w:hAnsi="Times New Roman" w:cs="Times New Roman"/>
                <w:bCs/>
                <w:sz w:val="24"/>
                <w:szCs w:val="24"/>
              </w:rPr>
              <w:t>namijenjenih razvoju</w:t>
            </w:r>
            <w:r w:rsidR="00C3081C" w:rsidRPr="00C0186C">
              <w:rPr>
                <w:rFonts w:ascii="Times New Roman" w:hAnsi="Times New Roman" w:cs="Times New Roman"/>
                <w:bCs/>
                <w:sz w:val="24"/>
                <w:szCs w:val="24"/>
              </w:rPr>
              <w:t xml:space="preserve"> </w:t>
            </w:r>
            <w:r w:rsidR="008C09CF" w:rsidRPr="00C0186C">
              <w:rPr>
                <w:rFonts w:ascii="Times New Roman" w:hAnsi="Times New Roman" w:cs="Times New Roman"/>
                <w:bCs/>
                <w:sz w:val="24"/>
                <w:szCs w:val="24"/>
              </w:rPr>
              <w:t>javne infrastrukture</w:t>
            </w:r>
            <w:r w:rsidR="00990859" w:rsidRPr="00C0186C">
              <w:rPr>
                <w:rFonts w:ascii="Times New Roman" w:hAnsi="Times New Roman" w:cs="Times New Roman"/>
                <w:bCs/>
                <w:sz w:val="24"/>
                <w:szCs w:val="24"/>
              </w:rPr>
              <w:t>.</w:t>
            </w:r>
          </w:p>
          <w:p w14:paraId="4E5CFEDF" w14:textId="77777777" w:rsidR="00B04998" w:rsidRPr="00B04998" w:rsidRDefault="00B04998" w:rsidP="00B04998">
            <w:pPr>
              <w:pStyle w:val="ListParagraph"/>
              <w:spacing w:before="0" w:after="0"/>
              <w:ind w:left="1279"/>
              <w:rPr>
                <w:rFonts w:ascii="Times New Roman" w:hAnsi="Times New Roman" w:cs="Times New Roman"/>
                <w:bCs/>
                <w:sz w:val="24"/>
                <w:szCs w:val="24"/>
              </w:rPr>
            </w:pPr>
          </w:p>
          <w:p w14:paraId="112A64C5" w14:textId="7A694E35" w:rsidR="00B25849" w:rsidRPr="00C0186C" w:rsidRDefault="00B25849" w:rsidP="001630CD">
            <w:pPr>
              <w:pStyle w:val="ListParagraph"/>
              <w:numPr>
                <w:ilvl w:val="0"/>
                <w:numId w:val="40"/>
              </w:numPr>
              <w:spacing w:before="0"/>
              <w:ind w:left="323" w:hanging="283"/>
              <w:jc w:val="both"/>
              <w:rPr>
                <w:rFonts w:ascii="Times New Roman" w:hAnsi="Times New Roman" w:cs="Times New Roman"/>
                <w:b/>
                <w:bCs/>
                <w:sz w:val="24"/>
                <w:szCs w:val="24"/>
              </w:rPr>
            </w:pPr>
            <w:r w:rsidRPr="00C0186C">
              <w:rPr>
                <w:rFonts w:ascii="Times New Roman" w:hAnsi="Times New Roman" w:cs="Times New Roman"/>
                <w:b/>
                <w:bCs/>
                <w:sz w:val="24"/>
                <w:szCs w:val="24"/>
              </w:rPr>
              <w:t>Posebni kriterij odabira projekata</w:t>
            </w:r>
          </w:p>
          <w:p w14:paraId="1EB5BF28" w14:textId="55D3751C" w:rsidR="00213784" w:rsidRPr="00C0186C" w:rsidRDefault="00B25849" w:rsidP="00CA63B9">
            <w:pPr>
              <w:pStyle w:val="ListParagraph"/>
              <w:numPr>
                <w:ilvl w:val="1"/>
                <w:numId w:val="40"/>
              </w:numPr>
              <w:spacing w:before="0"/>
              <w:ind w:left="1420" w:hanging="708"/>
              <w:jc w:val="both"/>
              <w:rPr>
                <w:rFonts w:ascii="Times New Roman" w:hAnsi="Times New Roman" w:cs="Times New Roman"/>
                <w:bCs/>
                <w:sz w:val="24"/>
                <w:szCs w:val="24"/>
              </w:rPr>
            </w:pPr>
            <w:r w:rsidRPr="00C0186C">
              <w:rPr>
                <w:rFonts w:ascii="Times New Roman" w:hAnsi="Times New Roman" w:cs="Times New Roman"/>
                <w:bCs/>
                <w:sz w:val="24"/>
                <w:szCs w:val="24"/>
              </w:rPr>
              <w:t xml:space="preserve">Dodjela dodatnih bodova na javnim pozivima za dodjelu </w:t>
            </w:r>
            <w:r w:rsidR="00294581" w:rsidRPr="00C0186C">
              <w:rPr>
                <w:rFonts w:ascii="Times New Roman" w:hAnsi="Times New Roman" w:cs="Times New Roman"/>
                <w:bCs/>
                <w:sz w:val="24"/>
                <w:szCs w:val="24"/>
              </w:rPr>
              <w:t xml:space="preserve">nacionalnih ili EU </w:t>
            </w:r>
            <w:r w:rsidRPr="00C0186C">
              <w:rPr>
                <w:rFonts w:ascii="Times New Roman" w:hAnsi="Times New Roman" w:cs="Times New Roman"/>
                <w:bCs/>
                <w:sz w:val="24"/>
                <w:szCs w:val="24"/>
              </w:rPr>
              <w:t>bespovratnih sredstava jedinicama lokalne samouprave sa statusom potpomognutog područja ili drugim prihvatljivim korisnicima registriranim na području jedinica lokalne samouprave sa statusom potpomognutog područja</w:t>
            </w:r>
          </w:p>
        </w:tc>
      </w:tr>
    </w:tbl>
    <w:p w14:paraId="03167E1C" w14:textId="77777777" w:rsidR="00005828" w:rsidRPr="00C0186C" w:rsidRDefault="00005828" w:rsidP="00192D95">
      <w:pPr>
        <w:spacing w:before="0" w:after="0"/>
        <w:rPr>
          <w:rFonts w:ascii="Times New Roman" w:eastAsia="Calibri" w:hAnsi="Times New Roman" w:cs="Times New Roman"/>
          <w:b/>
          <w:bCs/>
          <w:sz w:val="24"/>
          <w:szCs w:val="24"/>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15"/>
      </w:tblGrid>
      <w:tr w:rsidR="0083583A" w:rsidRPr="00C0186C" w14:paraId="6520F537" w14:textId="77777777" w:rsidTr="00A4421B">
        <w:trPr>
          <w:trHeight w:val="616"/>
        </w:trPr>
        <w:tc>
          <w:tcPr>
            <w:tcW w:w="2547" w:type="dxa"/>
            <w:shd w:val="clear" w:color="auto" w:fill="5B9BD5" w:themeFill="accent1"/>
            <w:noWrap/>
            <w:vAlign w:val="center"/>
            <w:hideMark/>
          </w:tcPr>
          <w:p w14:paraId="10F0A85B" w14:textId="77777777" w:rsidR="0083583A" w:rsidRPr="00E4439F" w:rsidRDefault="0083583A" w:rsidP="00B70EE8">
            <w:pPr>
              <w:spacing w:before="0" w:after="0"/>
              <w:jc w:val="center"/>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CILJ 2.</w:t>
            </w:r>
          </w:p>
        </w:tc>
        <w:tc>
          <w:tcPr>
            <w:tcW w:w="7115" w:type="dxa"/>
            <w:shd w:val="clear" w:color="auto" w:fill="5B9BD5" w:themeFill="accent1"/>
            <w:noWrap/>
            <w:vAlign w:val="center"/>
            <w:hideMark/>
          </w:tcPr>
          <w:p w14:paraId="2C44C406" w14:textId="7CC23C4C" w:rsidR="0083583A" w:rsidRPr="00E4439F" w:rsidRDefault="0083583A" w:rsidP="00B70EE8">
            <w:pPr>
              <w:spacing w:before="0" w:after="0"/>
              <w:jc w:val="both"/>
              <w:rPr>
                <w:rFonts w:ascii="Times New Roman" w:eastAsia="Times New Roman" w:hAnsi="Times New Roman" w:cs="Times New Roman"/>
                <w:b/>
                <w:bCs/>
                <w:color w:val="FFFFFF" w:themeColor="background1"/>
                <w:sz w:val="24"/>
                <w:szCs w:val="24"/>
                <w:lang w:eastAsia="hr-HR"/>
              </w:rPr>
            </w:pPr>
            <w:r w:rsidRPr="00E4439F">
              <w:rPr>
                <w:rFonts w:ascii="Times New Roman" w:eastAsia="Times New Roman" w:hAnsi="Times New Roman" w:cs="Times New Roman"/>
                <w:b/>
                <w:bCs/>
                <w:color w:val="FFFFFF" w:themeColor="background1"/>
                <w:sz w:val="24"/>
                <w:szCs w:val="24"/>
                <w:lang w:eastAsia="hr-HR"/>
              </w:rPr>
              <w:t xml:space="preserve">DEMOGRAFSKA REVITALIZACIJA </w:t>
            </w:r>
          </w:p>
        </w:tc>
      </w:tr>
      <w:tr w:rsidR="0083583A" w:rsidRPr="00C0186C" w14:paraId="1F59EAF2" w14:textId="77777777" w:rsidTr="00E4439F">
        <w:trPr>
          <w:trHeight w:val="600"/>
        </w:trPr>
        <w:tc>
          <w:tcPr>
            <w:tcW w:w="2547" w:type="dxa"/>
            <w:shd w:val="clear" w:color="auto" w:fill="5B9BD5" w:themeFill="accent1"/>
            <w:noWrap/>
            <w:vAlign w:val="center"/>
          </w:tcPr>
          <w:p w14:paraId="3C6C336B" w14:textId="77777777" w:rsidR="0083583A" w:rsidRPr="00E4439F" w:rsidRDefault="0083583A" w:rsidP="00B70EE8">
            <w:pPr>
              <w:spacing w:before="0" w:after="0"/>
              <w:jc w:val="center"/>
              <w:rPr>
                <w:rFonts w:ascii="Times New Roman" w:eastAsia="Times New Roman" w:hAnsi="Times New Roman" w:cs="Times New Roman"/>
                <w:b/>
                <w:color w:val="FFFFFF" w:themeColor="background1"/>
                <w:sz w:val="24"/>
                <w:szCs w:val="24"/>
                <w:lang w:eastAsia="hr-HR"/>
              </w:rPr>
            </w:pPr>
            <w:r w:rsidRPr="00E4439F">
              <w:rPr>
                <w:rFonts w:ascii="Times New Roman" w:eastAsia="Times New Roman" w:hAnsi="Times New Roman" w:cs="Times New Roman"/>
                <w:b/>
                <w:color w:val="FFFFFF" w:themeColor="background1"/>
                <w:sz w:val="24"/>
                <w:szCs w:val="24"/>
                <w:lang w:eastAsia="hr-HR"/>
              </w:rPr>
              <w:t>Mjera 2.1.</w:t>
            </w:r>
          </w:p>
        </w:tc>
        <w:tc>
          <w:tcPr>
            <w:tcW w:w="7115" w:type="dxa"/>
            <w:shd w:val="clear" w:color="auto" w:fill="5B9BD5" w:themeFill="accent1"/>
            <w:vAlign w:val="center"/>
          </w:tcPr>
          <w:p w14:paraId="1DFD740D" w14:textId="77777777" w:rsidR="0083583A" w:rsidRPr="00E4439F" w:rsidRDefault="002A19BC" w:rsidP="00B70EE8">
            <w:pPr>
              <w:spacing w:before="0" w:after="0"/>
              <w:jc w:val="both"/>
              <w:rPr>
                <w:rFonts w:ascii="Times New Roman" w:eastAsia="Times New Roman" w:hAnsi="Times New Roman" w:cs="Times New Roman"/>
                <w:b/>
                <w:color w:val="FFFFFF" w:themeColor="background1"/>
                <w:sz w:val="24"/>
                <w:szCs w:val="24"/>
                <w:lang w:eastAsia="hr-HR"/>
              </w:rPr>
            </w:pPr>
            <w:r w:rsidRPr="00E4439F">
              <w:rPr>
                <w:rFonts w:ascii="Times New Roman" w:eastAsia="Times New Roman" w:hAnsi="Times New Roman" w:cs="Times New Roman"/>
                <w:b/>
                <w:color w:val="FFFFFF" w:themeColor="background1"/>
                <w:sz w:val="24"/>
                <w:szCs w:val="24"/>
                <w:lang w:eastAsia="hr-HR"/>
              </w:rPr>
              <w:t>ZADRŽAVANJE POSTOJEĆEG I POVRAT ISELJENOG STANOVNIŠTVA TE DOSELJAVANJE NOVOG STANOVNIŠTVA</w:t>
            </w:r>
          </w:p>
        </w:tc>
      </w:tr>
      <w:tr w:rsidR="0083583A" w:rsidRPr="00C0186C" w14:paraId="4633EF35" w14:textId="77777777" w:rsidTr="00D32164">
        <w:trPr>
          <w:trHeight w:val="600"/>
        </w:trPr>
        <w:tc>
          <w:tcPr>
            <w:tcW w:w="2547" w:type="dxa"/>
            <w:shd w:val="clear" w:color="auto" w:fill="DEEAF6" w:themeFill="accent1" w:themeFillTint="33"/>
            <w:noWrap/>
            <w:vAlign w:val="center"/>
          </w:tcPr>
          <w:p w14:paraId="5796FFAF" w14:textId="77777777" w:rsidR="0083583A" w:rsidRPr="00C0186C" w:rsidRDefault="0083583A" w:rsidP="00B70EE8">
            <w:pPr>
              <w:spacing w:before="0" w:after="0"/>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 xml:space="preserve">Područje djelovanja </w:t>
            </w:r>
          </w:p>
        </w:tc>
        <w:tc>
          <w:tcPr>
            <w:tcW w:w="7115" w:type="dxa"/>
            <w:shd w:val="clear" w:color="auto" w:fill="DEEAF6" w:themeFill="accent1" w:themeFillTint="33"/>
            <w:vAlign w:val="center"/>
          </w:tcPr>
          <w:p w14:paraId="56DBB823" w14:textId="77777777" w:rsidR="0083583A" w:rsidRPr="00C0186C" w:rsidRDefault="0083583A" w:rsidP="00B70EE8">
            <w:pPr>
              <w:spacing w:before="0" w:after="0"/>
              <w:jc w:val="both"/>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Demografska mjera; socijalna mjera; gospodarska mjera</w:t>
            </w:r>
          </w:p>
        </w:tc>
      </w:tr>
      <w:tr w:rsidR="0083583A" w:rsidRPr="00C0186C" w14:paraId="34AC4334" w14:textId="77777777" w:rsidTr="00D32164">
        <w:trPr>
          <w:trHeight w:val="600"/>
        </w:trPr>
        <w:tc>
          <w:tcPr>
            <w:tcW w:w="2547" w:type="dxa"/>
            <w:shd w:val="clear" w:color="auto" w:fill="DEEAF6" w:themeFill="accent1" w:themeFillTint="33"/>
            <w:noWrap/>
            <w:vAlign w:val="center"/>
          </w:tcPr>
          <w:p w14:paraId="516C8B96" w14:textId="77777777" w:rsidR="0083583A" w:rsidRPr="00C0186C" w:rsidRDefault="0083583A" w:rsidP="00E414B7">
            <w:pPr>
              <w:spacing w:before="0" w:after="0"/>
              <w:jc w:val="center"/>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Ishodi</w:t>
            </w:r>
          </w:p>
        </w:tc>
        <w:tc>
          <w:tcPr>
            <w:tcW w:w="7115" w:type="dxa"/>
            <w:shd w:val="clear" w:color="auto" w:fill="DEEAF6" w:themeFill="accent1" w:themeFillTint="33"/>
            <w:vAlign w:val="center"/>
          </w:tcPr>
          <w:p w14:paraId="4C33D055" w14:textId="77777777" w:rsidR="0083583A" w:rsidRPr="00C0186C" w:rsidRDefault="0083583A" w:rsidP="00B70EE8">
            <w:pPr>
              <w:spacing w:before="0" w:after="0"/>
              <w:jc w:val="both"/>
              <w:rPr>
                <w:rFonts w:ascii="Times New Roman" w:eastAsia="Times New Roman" w:hAnsi="Times New Roman" w:cs="Times New Roman"/>
                <w:b/>
                <w:sz w:val="24"/>
                <w:szCs w:val="24"/>
                <w:lang w:eastAsia="hr-HR"/>
              </w:rPr>
            </w:pPr>
            <w:bookmarkStart w:id="25" w:name="_Hlk27385657"/>
            <w:r w:rsidRPr="00C0186C">
              <w:rPr>
                <w:rFonts w:ascii="Times New Roman" w:eastAsia="Times New Roman" w:hAnsi="Times New Roman" w:cs="Times New Roman"/>
                <w:b/>
                <w:sz w:val="24"/>
                <w:szCs w:val="24"/>
                <w:lang w:eastAsia="hr-HR"/>
              </w:rPr>
              <w:t>Povećanje broja stanovnika</w:t>
            </w:r>
          </w:p>
          <w:p w14:paraId="7ACC3AB8" w14:textId="77777777" w:rsidR="0083583A" w:rsidRPr="00C0186C" w:rsidRDefault="0083583A" w:rsidP="00B70EE8">
            <w:pPr>
              <w:spacing w:before="0" w:after="0"/>
              <w:jc w:val="both"/>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Povećanje broja kućanstava</w:t>
            </w:r>
          </w:p>
          <w:p w14:paraId="07F5AFFD" w14:textId="77777777" w:rsidR="0083583A" w:rsidRPr="00C0186C" w:rsidRDefault="0083583A" w:rsidP="00B70EE8">
            <w:pPr>
              <w:spacing w:before="0" w:after="0"/>
              <w:jc w:val="both"/>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Povećanje kvalitete života i dostupnosti lokalnih sadržaja i usluga</w:t>
            </w:r>
          </w:p>
          <w:p w14:paraId="776D3C39" w14:textId="77777777" w:rsidR="0083583A" w:rsidRPr="00C0186C" w:rsidRDefault="0083583A" w:rsidP="00B70EE8">
            <w:pPr>
              <w:spacing w:before="0" w:after="0"/>
              <w:jc w:val="both"/>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Povećanje obrazovnih mogućnosti za lokalno stanovništvo</w:t>
            </w:r>
            <w:bookmarkEnd w:id="25"/>
          </w:p>
        </w:tc>
      </w:tr>
      <w:tr w:rsidR="0083583A" w:rsidRPr="00C0186C" w14:paraId="449C68E5" w14:textId="77777777" w:rsidTr="00D32164">
        <w:trPr>
          <w:trHeight w:val="600"/>
        </w:trPr>
        <w:tc>
          <w:tcPr>
            <w:tcW w:w="2547" w:type="dxa"/>
            <w:shd w:val="clear" w:color="auto" w:fill="DEEAF6" w:themeFill="accent1" w:themeFillTint="33"/>
            <w:noWrap/>
            <w:vAlign w:val="center"/>
          </w:tcPr>
          <w:p w14:paraId="4F9AFC54" w14:textId="0552BC53" w:rsidR="0083583A" w:rsidRPr="00C0186C" w:rsidRDefault="0083583A" w:rsidP="00E32A7A">
            <w:pPr>
              <w:spacing w:before="0" w:after="0"/>
              <w:jc w:val="center"/>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Aktivnosti/projekti</w:t>
            </w:r>
          </w:p>
        </w:tc>
        <w:tc>
          <w:tcPr>
            <w:tcW w:w="7115" w:type="dxa"/>
            <w:shd w:val="clear" w:color="auto" w:fill="DEEAF6" w:themeFill="accent1" w:themeFillTint="33"/>
            <w:vAlign w:val="center"/>
          </w:tcPr>
          <w:p w14:paraId="07CF0593" w14:textId="77777777" w:rsidR="0083583A" w:rsidRPr="00C0186C" w:rsidRDefault="0083583A" w:rsidP="001630CD">
            <w:pPr>
              <w:numPr>
                <w:ilvl w:val="0"/>
                <w:numId w:val="9"/>
              </w:numPr>
              <w:spacing w:before="0" w:after="0"/>
              <w:ind w:left="323" w:hanging="283"/>
              <w:contextualSpacing/>
              <w:jc w:val="both"/>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Potpora stambenom zbrinjavanju stanovništva</w:t>
            </w:r>
          </w:p>
          <w:p w14:paraId="5261BFE0" w14:textId="77777777" w:rsidR="0083583A" w:rsidRPr="00C0186C" w:rsidRDefault="0083583A" w:rsidP="00192D95">
            <w:pPr>
              <w:pStyle w:val="ListParagraph"/>
              <w:numPr>
                <w:ilvl w:val="1"/>
                <w:numId w:val="9"/>
              </w:numPr>
              <w:spacing w:before="0"/>
              <w:ind w:left="1279" w:hanging="567"/>
              <w:jc w:val="both"/>
              <w:rPr>
                <w:rFonts w:ascii="Times New Roman" w:hAnsi="Times New Roman" w:cs="Times New Roman"/>
                <w:sz w:val="24"/>
                <w:szCs w:val="24"/>
              </w:rPr>
            </w:pPr>
            <w:r w:rsidRPr="00C0186C">
              <w:rPr>
                <w:rFonts w:ascii="Times New Roman" w:hAnsi="Times New Roman" w:cs="Times New Roman"/>
                <w:sz w:val="24"/>
                <w:szCs w:val="24"/>
              </w:rPr>
              <w:t>Sufinanciranje i potpora stambenom zbrinjavanju stanovništva na potpomognutim područjima u svrhu zadržavanja postojećeg stanovništva, povratka raseljenog stanovništva te poticanja novog naseljavanja, s posebnim naglaskom na kontingente mlađeg, radno sposobnog i radno aktivnog stanovništva kao ključnih pokretača razvoja lokalnih zajednica</w:t>
            </w:r>
            <w:r w:rsidR="00C3081C" w:rsidRPr="00C0186C">
              <w:rPr>
                <w:rFonts w:ascii="Times New Roman" w:hAnsi="Times New Roman" w:cs="Times New Roman"/>
                <w:sz w:val="24"/>
                <w:szCs w:val="24"/>
              </w:rPr>
              <w:t>;</w:t>
            </w:r>
          </w:p>
          <w:p w14:paraId="09C5DD0F" w14:textId="2B0F9BA4" w:rsidR="00B04998" w:rsidRPr="00A4421B" w:rsidRDefault="00211AF6" w:rsidP="00A4421B">
            <w:pPr>
              <w:pStyle w:val="ListParagraph"/>
              <w:numPr>
                <w:ilvl w:val="1"/>
                <w:numId w:val="9"/>
              </w:numPr>
              <w:spacing w:before="0"/>
              <w:ind w:left="1279" w:hanging="567"/>
              <w:jc w:val="both"/>
              <w:rPr>
                <w:rFonts w:ascii="Times New Roman" w:hAnsi="Times New Roman" w:cs="Times New Roman"/>
                <w:sz w:val="24"/>
                <w:szCs w:val="24"/>
              </w:rPr>
            </w:pPr>
            <w:r w:rsidRPr="00C0186C">
              <w:rPr>
                <w:rFonts w:ascii="Times New Roman" w:hAnsi="Times New Roman" w:cs="Times New Roman"/>
                <w:sz w:val="24"/>
                <w:szCs w:val="24"/>
              </w:rPr>
              <w:t>Potpora i poticanje naseljavanja stanovnika na potpomognutim područjima, os</w:t>
            </w:r>
            <w:r w:rsidR="00A8296D" w:rsidRPr="00C0186C">
              <w:rPr>
                <w:rFonts w:ascii="Times New Roman" w:hAnsi="Times New Roman" w:cs="Times New Roman"/>
                <w:sz w:val="24"/>
                <w:szCs w:val="24"/>
              </w:rPr>
              <w:t xml:space="preserve">obito ovih zanimanja koji obavljanjem svoje djelatnosti mogu pridonijeti njihovu gospodarskom i društvenom razvoju </w:t>
            </w:r>
          </w:p>
          <w:p w14:paraId="5E52F021" w14:textId="77777777" w:rsidR="0083583A" w:rsidRPr="00C0186C" w:rsidRDefault="0083583A" w:rsidP="001630CD">
            <w:pPr>
              <w:numPr>
                <w:ilvl w:val="0"/>
                <w:numId w:val="9"/>
              </w:numPr>
              <w:spacing w:before="0" w:after="0"/>
              <w:ind w:left="323" w:hanging="283"/>
              <w:contextualSpacing/>
              <w:jc w:val="both"/>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Poticanje poboljšanja kvalitete življenja i podizanje atraktivnosti potpomognutih područja za život stanovništva</w:t>
            </w:r>
          </w:p>
          <w:p w14:paraId="7169C1CA" w14:textId="77777777" w:rsidR="00C3081C" w:rsidRPr="00C0186C" w:rsidRDefault="0083583A" w:rsidP="00192D95">
            <w:pPr>
              <w:pStyle w:val="ListParagraph"/>
              <w:numPr>
                <w:ilvl w:val="1"/>
                <w:numId w:val="9"/>
              </w:numPr>
              <w:spacing w:before="0"/>
              <w:ind w:left="1279" w:hanging="567"/>
              <w:jc w:val="both"/>
              <w:rPr>
                <w:rFonts w:ascii="Times New Roman" w:hAnsi="Times New Roman" w:cs="Times New Roman"/>
                <w:sz w:val="24"/>
                <w:szCs w:val="24"/>
              </w:rPr>
            </w:pPr>
            <w:r w:rsidRPr="00C0186C">
              <w:rPr>
                <w:rFonts w:ascii="Times New Roman" w:hAnsi="Times New Roman" w:cs="Times New Roman"/>
                <w:sz w:val="24"/>
                <w:szCs w:val="24"/>
              </w:rPr>
              <w:t>Sufinanciranje projekta, programa i aktivnosti usmjerenih na poboljšanje i prilagodbu postojećih te kreiranje novih javnih, ali i privatnih, usluga za potrebe lokalnih zajednica u području obrazovanja, kulture, zdravstva</w:t>
            </w:r>
            <w:r w:rsidR="00A8296D" w:rsidRPr="00C0186C">
              <w:rPr>
                <w:rFonts w:ascii="Times New Roman" w:hAnsi="Times New Roman" w:cs="Times New Roman"/>
                <w:sz w:val="24"/>
                <w:szCs w:val="24"/>
              </w:rPr>
              <w:t>, socijalne</w:t>
            </w:r>
            <w:r w:rsidRPr="00C0186C">
              <w:rPr>
                <w:rFonts w:ascii="Times New Roman" w:hAnsi="Times New Roman" w:cs="Times New Roman"/>
                <w:sz w:val="24"/>
                <w:szCs w:val="24"/>
              </w:rPr>
              <w:t xml:space="preserve"> skrbi, športa i rekreacije, slobodnih aktivnosti te drugih za život bitnih usluga i sadržaja. Navedeno podrazumijeva i projekte i pametna rješenja za olakšavanje pristupa i korištenja usluga za različite marginalizirane društvene skupine</w:t>
            </w:r>
            <w:r w:rsidR="00C3081C" w:rsidRPr="00C0186C">
              <w:rPr>
                <w:rFonts w:ascii="Times New Roman" w:hAnsi="Times New Roman" w:cs="Times New Roman"/>
                <w:sz w:val="24"/>
                <w:szCs w:val="24"/>
              </w:rPr>
              <w:t>;</w:t>
            </w:r>
          </w:p>
          <w:p w14:paraId="013C4BE3" w14:textId="482236F9" w:rsidR="00C3081C" w:rsidRPr="00C0186C" w:rsidRDefault="0083583A" w:rsidP="00192D95">
            <w:pPr>
              <w:pStyle w:val="ListParagraph"/>
              <w:numPr>
                <w:ilvl w:val="1"/>
                <w:numId w:val="9"/>
              </w:numPr>
              <w:spacing w:before="0"/>
              <w:ind w:left="1279" w:hanging="567"/>
              <w:jc w:val="both"/>
              <w:rPr>
                <w:rFonts w:ascii="Times New Roman" w:hAnsi="Times New Roman" w:cs="Times New Roman"/>
                <w:sz w:val="24"/>
                <w:szCs w:val="24"/>
              </w:rPr>
            </w:pPr>
            <w:r w:rsidRPr="00C0186C">
              <w:rPr>
                <w:rFonts w:ascii="Times New Roman" w:hAnsi="Times New Roman" w:cs="Times New Roman"/>
                <w:sz w:val="24"/>
                <w:szCs w:val="24"/>
              </w:rPr>
              <w:t xml:space="preserve">Potpora projektima i aktivnostima prilagodbe ili preobrazbe zapuštenih ili napuštenih kompleksa, objekata, nekretnina i površina u </w:t>
            </w:r>
            <w:r w:rsidR="00A416DF">
              <w:rPr>
                <w:rFonts w:ascii="Times New Roman" w:hAnsi="Times New Roman" w:cs="Times New Roman"/>
                <w:sz w:val="24"/>
                <w:szCs w:val="24"/>
              </w:rPr>
              <w:t xml:space="preserve">turističke i </w:t>
            </w:r>
            <w:r w:rsidRPr="00C0186C">
              <w:rPr>
                <w:rFonts w:ascii="Times New Roman" w:hAnsi="Times New Roman" w:cs="Times New Roman"/>
                <w:sz w:val="24"/>
                <w:szCs w:val="24"/>
              </w:rPr>
              <w:t>društveno korisne svrhe.</w:t>
            </w:r>
          </w:p>
          <w:p w14:paraId="0137ED5B" w14:textId="57B12129" w:rsidR="0083583A" w:rsidRPr="00C0186C" w:rsidRDefault="00A8296D" w:rsidP="00192D95">
            <w:pPr>
              <w:pStyle w:val="ListParagraph"/>
              <w:numPr>
                <w:ilvl w:val="1"/>
                <w:numId w:val="9"/>
              </w:numPr>
              <w:spacing w:before="0"/>
              <w:ind w:left="1279" w:hanging="567"/>
              <w:jc w:val="both"/>
              <w:rPr>
                <w:rFonts w:ascii="Times New Roman" w:hAnsi="Times New Roman" w:cs="Times New Roman"/>
                <w:sz w:val="24"/>
                <w:szCs w:val="24"/>
              </w:rPr>
            </w:pPr>
            <w:r w:rsidRPr="00C0186C">
              <w:rPr>
                <w:rFonts w:ascii="Times New Roman" w:hAnsi="Times New Roman" w:cs="Times New Roman"/>
                <w:sz w:val="24"/>
                <w:szCs w:val="24"/>
              </w:rPr>
              <w:t>Sufinanciranje i podrška projektima iz područja društvene, komunalne,</w:t>
            </w:r>
            <w:r w:rsidR="00C714CE" w:rsidRPr="00C0186C">
              <w:rPr>
                <w:rFonts w:ascii="Times New Roman" w:hAnsi="Times New Roman" w:cs="Times New Roman"/>
                <w:sz w:val="24"/>
                <w:szCs w:val="24"/>
              </w:rPr>
              <w:t xml:space="preserve"> okolišne, </w:t>
            </w:r>
            <w:r w:rsidRPr="00C0186C">
              <w:rPr>
                <w:rFonts w:ascii="Times New Roman" w:hAnsi="Times New Roman" w:cs="Times New Roman"/>
                <w:sz w:val="24"/>
                <w:szCs w:val="24"/>
              </w:rPr>
              <w:t xml:space="preserve">prometne, socijalne, zdravstvene </w:t>
            </w:r>
            <w:r w:rsidR="008528CF" w:rsidRPr="00C0186C">
              <w:rPr>
                <w:rFonts w:ascii="Times New Roman" w:hAnsi="Times New Roman" w:cs="Times New Roman"/>
                <w:sz w:val="24"/>
                <w:szCs w:val="24"/>
              </w:rPr>
              <w:t>infrastrukture</w:t>
            </w:r>
            <w:r w:rsidRPr="00C0186C">
              <w:rPr>
                <w:rFonts w:ascii="Times New Roman" w:hAnsi="Times New Roman" w:cs="Times New Roman"/>
                <w:sz w:val="24"/>
                <w:szCs w:val="24"/>
              </w:rPr>
              <w:t xml:space="preserve"> </w:t>
            </w:r>
            <w:r w:rsidR="00C714CE" w:rsidRPr="00C0186C">
              <w:rPr>
                <w:rFonts w:ascii="Times New Roman" w:hAnsi="Times New Roman" w:cs="Times New Roman"/>
                <w:sz w:val="24"/>
                <w:szCs w:val="24"/>
              </w:rPr>
              <w:t xml:space="preserve">u cilju </w:t>
            </w:r>
            <w:r w:rsidR="00A2129C" w:rsidRPr="00C0186C">
              <w:rPr>
                <w:rFonts w:ascii="Times New Roman" w:hAnsi="Times New Roman" w:cs="Times New Roman"/>
                <w:sz w:val="24"/>
                <w:szCs w:val="24"/>
              </w:rPr>
              <w:t>unaprjeđenja</w:t>
            </w:r>
            <w:r w:rsidRPr="00C0186C">
              <w:rPr>
                <w:rFonts w:ascii="Times New Roman" w:hAnsi="Times New Roman" w:cs="Times New Roman"/>
                <w:sz w:val="24"/>
                <w:szCs w:val="24"/>
              </w:rPr>
              <w:t xml:space="preserve"> kvalitet</w:t>
            </w:r>
            <w:r w:rsidR="00C714CE" w:rsidRPr="00C0186C">
              <w:rPr>
                <w:rFonts w:ascii="Times New Roman" w:hAnsi="Times New Roman" w:cs="Times New Roman"/>
                <w:sz w:val="24"/>
                <w:szCs w:val="24"/>
              </w:rPr>
              <w:t>e</w:t>
            </w:r>
            <w:r w:rsidRPr="00C0186C">
              <w:rPr>
                <w:rFonts w:ascii="Times New Roman" w:hAnsi="Times New Roman" w:cs="Times New Roman"/>
                <w:sz w:val="24"/>
                <w:szCs w:val="24"/>
              </w:rPr>
              <w:t xml:space="preserve"> života u zajednici </w:t>
            </w:r>
          </w:p>
          <w:p w14:paraId="4151FF1B" w14:textId="01B48727" w:rsidR="0039254A" w:rsidRPr="00C0186C" w:rsidRDefault="0039254A" w:rsidP="00B70EE8">
            <w:pPr>
              <w:pStyle w:val="ListParagraph"/>
              <w:spacing w:before="0"/>
              <w:ind w:left="750"/>
              <w:jc w:val="both"/>
              <w:rPr>
                <w:rFonts w:ascii="Times New Roman" w:hAnsi="Times New Roman" w:cs="Times New Roman"/>
                <w:sz w:val="24"/>
                <w:szCs w:val="24"/>
              </w:rPr>
            </w:pPr>
          </w:p>
          <w:p w14:paraId="05B19C91" w14:textId="52889CC5" w:rsidR="0039254A" w:rsidRPr="00DF5007" w:rsidRDefault="00682607" w:rsidP="001630CD">
            <w:pPr>
              <w:pStyle w:val="ListParagraph"/>
              <w:numPr>
                <w:ilvl w:val="0"/>
                <w:numId w:val="9"/>
              </w:numPr>
              <w:spacing w:before="0"/>
              <w:ind w:left="323" w:hanging="283"/>
              <w:jc w:val="both"/>
              <w:rPr>
                <w:rFonts w:ascii="Times New Roman" w:hAnsi="Times New Roman" w:cs="Times New Roman"/>
                <w:b/>
                <w:bCs/>
                <w:sz w:val="24"/>
                <w:szCs w:val="24"/>
              </w:rPr>
            </w:pPr>
            <w:r w:rsidRPr="00DF5007">
              <w:rPr>
                <w:rFonts w:ascii="Times New Roman" w:hAnsi="Times New Roman" w:cs="Times New Roman"/>
                <w:b/>
                <w:bCs/>
                <w:sz w:val="24"/>
                <w:szCs w:val="24"/>
              </w:rPr>
              <w:t>Korištenje obnovljivih izvora energije u stambenim zgradama na potpomognutim područjima i područjima posebne državne skrbi</w:t>
            </w:r>
          </w:p>
          <w:p w14:paraId="3B2B7817" w14:textId="0915893E" w:rsidR="00F528ED" w:rsidRPr="00DF5007" w:rsidRDefault="00F528ED" w:rsidP="00B70EE8">
            <w:pPr>
              <w:pStyle w:val="ListParagraph"/>
              <w:spacing w:before="0"/>
              <w:jc w:val="both"/>
              <w:rPr>
                <w:rFonts w:ascii="Times New Roman" w:hAnsi="Times New Roman" w:cs="Times New Roman"/>
                <w:sz w:val="24"/>
                <w:szCs w:val="24"/>
              </w:rPr>
            </w:pPr>
            <w:r w:rsidRPr="00DF5007">
              <w:rPr>
                <w:rFonts w:ascii="Times New Roman" w:hAnsi="Times New Roman" w:cs="Times New Roman"/>
                <w:sz w:val="24"/>
                <w:szCs w:val="24"/>
              </w:rPr>
              <w:t xml:space="preserve">Program suzbijanja energetskog siromaštva uključuje korištenje obnovljivih izvora energije u stambenim zgradama na potpomognutim područjima </w:t>
            </w:r>
            <w:r w:rsidR="00DC50DE" w:rsidRPr="00DF5007">
              <w:rPr>
                <w:rFonts w:ascii="Times New Roman" w:hAnsi="Times New Roman" w:cs="Times New Roman"/>
                <w:sz w:val="24"/>
                <w:szCs w:val="24"/>
              </w:rPr>
              <w:t>i područjima posebne državne skrbi. Energetska obnova u ovom kontekstu predstavlja ne samo socijalnu-demografsku mjeru te mjeru stambenog zbrinjavanja već i ekonomsku mjeru jer će dovesti do povećane aktivnosti u građevinskim poslovima.</w:t>
            </w:r>
          </w:p>
          <w:p w14:paraId="59995DC7" w14:textId="77777777" w:rsidR="00C3081C" w:rsidRPr="00C0186C" w:rsidRDefault="00C3081C" w:rsidP="00B70EE8">
            <w:pPr>
              <w:pStyle w:val="ListParagraph"/>
              <w:spacing w:before="0"/>
              <w:ind w:left="750"/>
              <w:jc w:val="both"/>
              <w:rPr>
                <w:rFonts w:ascii="Times New Roman" w:hAnsi="Times New Roman" w:cs="Times New Roman"/>
                <w:sz w:val="24"/>
                <w:szCs w:val="24"/>
              </w:rPr>
            </w:pPr>
          </w:p>
          <w:p w14:paraId="6BAF7697" w14:textId="77777777" w:rsidR="00C3081C" w:rsidRPr="00C0186C" w:rsidRDefault="0083583A" w:rsidP="001630CD">
            <w:pPr>
              <w:pStyle w:val="ListParagraph"/>
              <w:numPr>
                <w:ilvl w:val="0"/>
                <w:numId w:val="9"/>
              </w:numPr>
              <w:spacing w:before="0"/>
              <w:ind w:left="323" w:hanging="283"/>
              <w:jc w:val="both"/>
              <w:rPr>
                <w:rFonts w:ascii="Times New Roman" w:hAnsi="Times New Roman" w:cs="Times New Roman"/>
                <w:b/>
                <w:sz w:val="24"/>
                <w:szCs w:val="24"/>
              </w:rPr>
            </w:pPr>
            <w:r w:rsidRPr="00C0186C">
              <w:rPr>
                <w:rFonts w:ascii="Times New Roman" w:hAnsi="Times New Roman" w:cs="Times New Roman"/>
                <w:b/>
                <w:sz w:val="24"/>
                <w:szCs w:val="24"/>
              </w:rPr>
              <w:t>Osposobljavanje i usavršavanje stanovništva za produktivan život i rad u lokalnoj zajednici i gospodarstvu</w:t>
            </w:r>
          </w:p>
          <w:p w14:paraId="5D5BA726" w14:textId="77777777" w:rsidR="00AD2D9F" w:rsidRPr="006C4249" w:rsidRDefault="0083583A" w:rsidP="00192D95">
            <w:pPr>
              <w:pStyle w:val="ListParagraph"/>
              <w:numPr>
                <w:ilvl w:val="1"/>
                <w:numId w:val="9"/>
              </w:numPr>
              <w:spacing w:before="0"/>
              <w:ind w:left="1420" w:hanging="673"/>
              <w:jc w:val="both"/>
              <w:rPr>
                <w:rFonts w:ascii="Times New Roman" w:hAnsi="Times New Roman" w:cs="Times New Roman"/>
                <w:sz w:val="24"/>
                <w:szCs w:val="24"/>
              </w:rPr>
            </w:pPr>
            <w:r w:rsidRPr="006C4249">
              <w:rPr>
                <w:rFonts w:ascii="Times New Roman" w:hAnsi="Times New Roman" w:cs="Times New Roman"/>
                <w:sz w:val="24"/>
                <w:szCs w:val="24"/>
              </w:rPr>
              <w:t>Sufinanciranje i podrška provedbi aktivnosti, projekata i programa obrazovnih ustanova, centara izvrsnosti i centara kompetencija u svrhu obavljanja svojih djelatnosti u potpomognutim područjima u skladu s potrebama lokalnih tržišta rada i potrebama za jačanje radnih i poduzetničkih sposobnosti nezaposlenih osoba, osoba niže razine obrazovanosti i kvalifikacija te različitih skupina marginaliziranih osoba, a sve u svrhu boljeg iskorištavanja razvojnih mogućnosti i kapitalizacije neiskorištenih potencijala potpomognutih područja.</w:t>
            </w:r>
          </w:p>
          <w:p w14:paraId="2028499A" w14:textId="4D937FE8" w:rsidR="00E32A7A" w:rsidRPr="00572B38" w:rsidRDefault="0083583A" w:rsidP="00572B38">
            <w:pPr>
              <w:pStyle w:val="ListParagraph"/>
              <w:numPr>
                <w:ilvl w:val="1"/>
                <w:numId w:val="9"/>
              </w:numPr>
              <w:spacing w:before="0"/>
              <w:ind w:left="1420" w:hanging="708"/>
              <w:jc w:val="both"/>
              <w:rPr>
                <w:rFonts w:ascii="Times New Roman" w:hAnsi="Times New Roman" w:cs="Times New Roman"/>
                <w:sz w:val="24"/>
                <w:szCs w:val="24"/>
              </w:rPr>
            </w:pPr>
            <w:r w:rsidRPr="006C4249">
              <w:rPr>
                <w:rFonts w:ascii="Times New Roman" w:hAnsi="Times New Roman" w:cs="Times New Roman"/>
                <w:sz w:val="24"/>
                <w:szCs w:val="24"/>
              </w:rPr>
              <w:t>Sufinanciranje i stipendiranje pohađanja programa formalnog i cjeloživotnog obrazovanja i učenja u svrhu stjecanja potrebnih kvalifikacija, znanja, vještina i kompetencija za rad i život u lokalnoj zajednici i gospodarstvu.</w:t>
            </w:r>
          </w:p>
        </w:tc>
      </w:tr>
      <w:tr w:rsidR="0083583A" w:rsidRPr="00C0186C" w14:paraId="3B3A26C3" w14:textId="77777777" w:rsidTr="00E4439F">
        <w:trPr>
          <w:trHeight w:val="600"/>
        </w:trPr>
        <w:tc>
          <w:tcPr>
            <w:tcW w:w="2547" w:type="dxa"/>
            <w:shd w:val="clear" w:color="auto" w:fill="5B9BD5" w:themeFill="accent1"/>
            <w:noWrap/>
            <w:vAlign w:val="center"/>
          </w:tcPr>
          <w:p w14:paraId="3F70EBC3" w14:textId="77777777" w:rsidR="0083583A" w:rsidRPr="00E4439F" w:rsidRDefault="0083583A" w:rsidP="00B70EE8">
            <w:pPr>
              <w:spacing w:before="0" w:after="0"/>
              <w:jc w:val="center"/>
              <w:rPr>
                <w:rFonts w:ascii="Times New Roman" w:eastAsia="Times New Roman" w:hAnsi="Times New Roman" w:cs="Times New Roman"/>
                <w:b/>
                <w:color w:val="FFFFFF" w:themeColor="background1"/>
                <w:sz w:val="24"/>
                <w:szCs w:val="24"/>
                <w:lang w:eastAsia="hr-HR"/>
              </w:rPr>
            </w:pPr>
            <w:r w:rsidRPr="00E4439F">
              <w:rPr>
                <w:rFonts w:ascii="Times New Roman" w:eastAsia="Times New Roman" w:hAnsi="Times New Roman" w:cs="Times New Roman"/>
                <w:b/>
                <w:color w:val="FFFFFF" w:themeColor="background1"/>
                <w:sz w:val="24"/>
                <w:szCs w:val="24"/>
                <w:lang w:eastAsia="hr-HR"/>
              </w:rPr>
              <w:t>Mjera 2.2.</w:t>
            </w:r>
          </w:p>
        </w:tc>
        <w:tc>
          <w:tcPr>
            <w:tcW w:w="7115" w:type="dxa"/>
            <w:shd w:val="clear" w:color="auto" w:fill="5B9BD5" w:themeFill="accent1"/>
            <w:vAlign w:val="center"/>
          </w:tcPr>
          <w:p w14:paraId="6A11781F" w14:textId="77777777" w:rsidR="0083583A" w:rsidRPr="00E4439F" w:rsidRDefault="0083583A" w:rsidP="00B70EE8">
            <w:pPr>
              <w:spacing w:before="0" w:after="0"/>
              <w:jc w:val="both"/>
              <w:rPr>
                <w:rFonts w:ascii="Times New Roman" w:eastAsia="Times New Roman" w:hAnsi="Times New Roman" w:cs="Times New Roman"/>
                <w:b/>
                <w:color w:val="FFFFFF" w:themeColor="background1"/>
                <w:sz w:val="24"/>
                <w:szCs w:val="24"/>
                <w:lang w:eastAsia="hr-HR"/>
              </w:rPr>
            </w:pPr>
            <w:bookmarkStart w:id="26" w:name="_Hlk27310145"/>
            <w:r w:rsidRPr="00E4439F">
              <w:rPr>
                <w:rFonts w:ascii="Times New Roman" w:eastAsia="Times New Roman" w:hAnsi="Times New Roman" w:cs="Times New Roman"/>
                <w:b/>
                <w:color w:val="FFFFFF" w:themeColor="background1"/>
                <w:sz w:val="24"/>
                <w:szCs w:val="24"/>
                <w:lang w:eastAsia="hr-HR"/>
              </w:rPr>
              <w:t>POTICANJE PRIRODNOG PRIRASTA STANOVNIŠTVA</w:t>
            </w:r>
            <w:bookmarkEnd w:id="26"/>
          </w:p>
        </w:tc>
      </w:tr>
      <w:tr w:rsidR="0083583A" w:rsidRPr="00C0186C" w14:paraId="5417797C" w14:textId="77777777" w:rsidTr="00D32164">
        <w:trPr>
          <w:trHeight w:val="600"/>
        </w:trPr>
        <w:tc>
          <w:tcPr>
            <w:tcW w:w="2547" w:type="dxa"/>
            <w:shd w:val="clear" w:color="auto" w:fill="DEEAF6" w:themeFill="accent1" w:themeFillTint="33"/>
            <w:noWrap/>
            <w:vAlign w:val="center"/>
          </w:tcPr>
          <w:p w14:paraId="40EDD717" w14:textId="77777777" w:rsidR="0083583A" w:rsidRPr="00C0186C" w:rsidRDefault="0083583A" w:rsidP="00B70EE8">
            <w:pPr>
              <w:spacing w:before="0" w:after="0"/>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Područje djelovanja</w:t>
            </w:r>
          </w:p>
        </w:tc>
        <w:tc>
          <w:tcPr>
            <w:tcW w:w="7115" w:type="dxa"/>
            <w:shd w:val="clear" w:color="auto" w:fill="DEEAF6" w:themeFill="accent1" w:themeFillTint="33"/>
            <w:vAlign w:val="center"/>
          </w:tcPr>
          <w:p w14:paraId="7F61556F" w14:textId="77777777" w:rsidR="0083583A" w:rsidRPr="00C0186C" w:rsidRDefault="0083583A" w:rsidP="00B70EE8">
            <w:pPr>
              <w:spacing w:before="0" w:after="0"/>
              <w:jc w:val="both"/>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Demografska mjera; socijalna mjera</w:t>
            </w:r>
          </w:p>
        </w:tc>
      </w:tr>
      <w:tr w:rsidR="0083583A" w:rsidRPr="00C0186C" w14:paraId="24ED95AC" w14:textId="77777777" w:rsidTr="00D32164">
        <w:trPr>
          <w:trHeight w:val="600"/>
        </w:trPr>
        <w:tc>
          <w:tcPr>
            <w:tcW w:w="2547" w:type="dxa"/>
            <w:shd w:val="clear" w:color="auto" w:fill="DEEAF6" w:themeFill="accent1" w:themeFillTint="33"/>
            <w:noWrap/>
            <w:vAlign w:val="center"/>
          </w:tcPr>
          <w:p w14:paraId="239C751F" w14:textId="77777777" w:rsidR="0083583A" w:rsidRPr="00C0186C" w:rsidRDefault="0083583A" w:rsidP="00B70EE8">
            <w:pPr>
              <w:spacing w:before="0" w:after="0"/>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 xml:space="preserve">Ishodi  </w:t>
            </w:r>
          </w:p>
        </w:tc>
        <w:tc>
          <w:tcPr>
            <w:tcW w:w="7115" w:type="dxa"/>
            <w:shd w:val="clear" w:color="auto" w:fill="DEEAF6" w:themeFill="accent1" w:themeFillTint="33"/>
            <w:vAlign w:val="center"/>
          </w:tcPr>
          <w:p w14:paraId="4445EF64" w14:textId="77777777" w:rsidR="0083583A" w:rsidRPr="00C0186C" w:rsidRDefault="0083583A" w:rsidP="00B70EE8">
            <w:pPr>
              <w:spacing w:before="0" w:after="0"/>
              <w:jc w:val="both"/>
              <w:rPr>
                <w:rFonts w:ascii="Times New Roman" w:eastAsia="Times New Roman" w:hAnsi="Times New Roman" w:cs="Times New Roman"/>
                <w:b/>
                <w:sz w:val="24"/>
                <w:szCs w:val="24"/>
                <w:lang w:eastAsia="hr-HR"/>
              </w:rPr>
            </w:pPr>
            <w:bookmarkStart w:id="27" w:name="_Hlk27385685"/>
            <w:r w:rsidRPr="00C0186C">
              <w:rPr>
                <w:rFonts w:ascii="Times New Roman" w:eastAsia="Times New Roman" w:hAnsi="Times New Roman" w:cs="Times New Roman"/>
                <w:b/>
                <w:sz w:val="24"/>
                <w:szCs w:val="24"/>
                <w:lang w:eastAsia="hr-HR"/>
              </w:rPr>
              <w:t>Povećanje nataliteta i prirodnog prirasta stanovništva</w:t>
            </w:r>
          </w:p>
          <w:p w14:paraId="49FDB3F5" w14:textId="77777777" w:rsidR="0083583A" w:rsidRPr="00C0186C" w:rsidRDefault="0083583A" w:rsidP="00B70EE8">
            <w:pPr>
              <w:spacing w:before="0" w:after="0"/>
              <w:jc w:val="both"/>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Povećanje odgojno-obrazovnih kapaciteta za djecu</w:t>
            </w:r>
            <w:bookmarkEnd w:id="27"/>
          </w:p>
        </w:tc>
      </w:tr>
      <w:tr w:rsidR="0083583A" w:rsidRPr="00C0186C" w14:paraId="4F277B21" w14:textId="77777777" w:rsidTr="00D32164">
        <w:trPr>
          <w:trHeight w:val="600"/>
        </w:trPr>
        <w:tc>
          <w:tcPr>
            <w:tcW w:w="2547" w:type="dxa"/>
            <w:shd w:val="clear" w:color="auto" w:fill="DEEAF6" w:themeFill="accent1" w:themeFillTint="33"/>
            <w:noWrap/>
            <w:vAlign w:val="center"/>
          </w:tcPr>
          <w:p w14:paraId="4993AEE4" w14:textId="77777777" w:rsidR="0083583A" w:rsidRPr="00C0186C" w:rsidRDefault="0083583A" w:rsidP="00B70EE8">
            <w:pPr>
              <w:spacing w:before="0" w:after="0"/>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 xml:space="preserve">Aktivnosti/projekti </w:t>
            </w:r>
          </w:p>
        </w:tc>
        <w:tc>
          <w:tcPr>
            <w:tcW w:w="7115" w:type="dxa"/>
            <w:shd w:val="clear" w:color="auto" w:fill="DEEAF6" w:themeFill="accent1" w:themeFillTint="33"/>
            <w:vAlign w:val="center"/>
          </w:tcPr>
          <w:p w14:paraId="41A93EA3" w14:textId="77777777" w:rsidR="0083583A" w:rsidRPr="00C0186C" w:rsidRDefault="0083583A" w:rsidP="001630CD">
            <w:pPr>
              <w:numPr>
                <w:ilvl w:val="0"/>
                <w:numId w:val="10"/>
              </w:numPr>
              <w:spacing w:before="0" w:after="0"/>
              <w:ind w:left="323" w:hanging="283"/>
              <w:contextualSpacing/>
              <w:jc w:val="both"/>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Povećanje i modernizacija kapaciteta za odgoj, obrazovanje i brigu o djeci</w:t>
            </w:r>
            <w:r w:rsidR="00B945A9" w:rsidRPr="00C0186C">
              <w:rPr>
                <w:rFonts w:ascii="Times New Roman" w:eastAsia="Times New Roman" w:hAnsi="Times New Roman" w:cs="Times New Roman"/>
                <w:b/>
                <w:sz w:val="24"/>
                <w:szCs w:val="24"/>
                <w:lang w:eastAsia="hr-HR"/>
              </w:rPr>
              <w:t xml:space="preserve"> </w:t>
            </w:r>
          </w:p>
          <w:p w14:paraId="452CC857" w14:textId="77777777" w:rsidR="0083583A" w:rsidRPr="00C0186C" w:rsidRDefault="0083583A" w:rsidP="00192D95">
            <w:pPr>
              <w:pStyle w:val="ListParagraph"/>
              <w:numPr>
                <w:ilvl w:val="1"/>
                <w:numId w:val="10"/>
              </w:numPr>
              <w:spacing w:before="0"/>
              <w:ind w:left="1279" w:hanging="567"/>
              <w:jc w:val="both"/>
              <w:rPr>
                <w:rFonts w:ascii="Times New Roman" w:hAnsi="Times New Roman" w:cs="Times New Roman"/>
                <w:sz w:val="24"/>
                <w:szCs w:val="24"/>
              </w:rPr>
            </w:pPr>
            <w:r w:rsidRPr="00C0186C">
              <w:rPr>
                <w:rFonts w:ascii="Times New Roman" w:hAnsi="Times New Roman" w:cs="Times New Roman"/>
                <w:sz w:val="24"/>
                <w:szCs w:val="24"/>
              </w:rPr>
              <w:t>Sufinanciranje i podrška provedbi aktivnosti, projekata i programa u svrhu zadovoljavanja javnih potreba</w:t>
            </w:r>
            <w:r w:rsidR="004F2BEA" w:rsidRPr="00C0186C">
              <w:rPr>
                <w:rFonts w:ascii="Times New Roman" w:hAnsi="Times New Roman" w:cs="Times New Roman"/>
                <w:sz w:val="24"/>
                <w:szCs w:val="24"/>
              </w:rPr>
              <w:t xml:space="preserve"> te povećanja kvalitete javnih usluga </w:t>
            </w:r>
            <w:r w:rsidRPr="00C0186C">
              <w:rPr>
                <w:rFonts w:ascii="Times New Roman" w:hAnsi="Times New Roman" w:cs="Times New Roman"/>
                <w:sz w:val="24"/>
                <w:szCs w:val="24"/>
              </w:rPr>
              <w:t xml:space="preserve">u </w:t>
            </w:r>
            <w:r w:rsidR="004F2BEA" w:rsidRPr="00C0186C">
              <w:rPr>
                <w:rFonts w:ascii="Times New Roman" w:hAnsi="Times New Roman" w:cs="Times New Roman"/>
                <w:sz w:val="24"/>
                <w:szCs w:val="24"/>
              </w:rPr>
              <w:t xml:space="preserve">domeni predškolskog </w:t>
            </w:r>
            <w:r w:rsidR="00C714CE" w:rsidRPr="00C0186C">
              <w:rPr>
                <w:rFonts w:ascii="Times New Roman" w:hAnsi="Times New Roman" w:cs="Times New Roman"/>
                <w:sz w:val="24"/>
                <w:szCs w:val="24"/>
              </w:rPr>
              <w:t xml:space="preserve">i školskog </w:t>
            </w:r>
            <w:r w:rsidR="004F2BEA" w:rsidRPr="00C0186C">
              <w:rPr>
                <w:rFonts w:ascii="Times New Roman" w:hAnsi="Times New Roman" w:cs="Times New Roman"/>
                <w:sz w:val="24"/>
                <w:szCs w:val="24"/>
              </w:rPr>
              <w:t>odgoja</w:t>
            </w:r>
            <w:r w:rsidRPr="00C0186C">
              <w:rPr>
                <w:rFonts w:ascii="Times New Roman" w:hAnsi="Times New Roman" w:cs="Times New Roman"/>
                <w:sz w:val="24"/>
                <w:szCs w:val="24"/>
              </w:rPr>
              <w:t xml:space="preserve"> i obrazovanj</w:t>
            </w:r>
            <w:r w:rsidR="004F2BEA" w:rsidRPr="00C0186C">
              <w:rPr>
                <w:rFonts w:ascii="Times New Roman" w:hAnsi="Times New Roman" w:cs="Times New Roman"/>
                <w:sz w:val="24"/>
                <w:szCs w:val="24"/>
              </w:rPr>
              <w:t>a</w:t>
            </w:r>
            <w:r w:rsidRPr="00C0186C">
              <w:rPr>
                <w:rFonts w:ascii="Times New Roman" w:hAnsi="Times New Roman" w:cs="Times New Roman"/>
                <w:sz w:val="24"/>
                <w:szCs w:val="24"/>
              </w:rPr>
              <w:t xml:space="preserve"> te skrbi o djeci </w:t>
            </w:r>
            <w:r w:rsidR="00256C3E" w:rsidRPr="00C0186C">
              <w:rPr>
                <w:rFonts w:ascii="Times New Roman" w:hAnsi="Times New Roman" w:cs="Times New Roman"/>
                <w:sz w:val="24"/>
                <w:szCs w:val="24"/>
              </w:rPr>
              <w:t>(i</w:t>
            </w:r>
            <w:r w:rsidR="00C714CE" w:rsidRPr="00C0186C">
              <w:rPr>
                <w:rFonts w:ascii="Times New Roman" w:hAnsi="Times New Roman" w:cs="Times New Roman"/>
                <w:sz w:val="24"/>
                <w:szCs w:val="24"/>
              </w:rPr>
              <w:t>zgradnja</w:t>
            </w:r>
            <w:r w:rsidRPr="00C0186C">
              <w:rPr>
                <w:rFonts w:ascii="Times New Roman" w:hAnsi="Times New Roman" w:cs="Times New Roman"/>
                <w:sz w:val="24"/>
                <w:szCs w:val="24"/>
              </w:rPr>
              <w:t xml:space="preserve"> i opremanje</w:t>
            </w:r>
            <w:r w:rsidR="00C714CE" w:rsidRPr="00C0186C">
              <w:rPr>
                <w:rFonts w:ascii="Times New Roman" w:hAnsi="Times New Roman" w:cs="Times New Roman"/>
                <w:sz w:val="24"/>
                <w:szCs w:val="24"/>
              </w:rPr>
              <w:t xml:space="preserve"> školskih i predškolskih građevina</w:t>
            </w:r>
            <w:r w:rsidRPr="00C0186C">
              <w:rPr>
                <w:rFonts w:ascii="Times New Roman" w:hAnsi="Times New Roman" w:cs="Times New Roman"/>
                <w:sz w:val="24"/>
                <w:szCs w:val="24"/>
              </w:rPr>
              <w:t xml:space="preserve">, </w:t>
            </w:r>
            <w:r w:rsidR="00C714CE" w:rsidRPr="00C0186C">
              <w:rPr>
                <w:rFonts w:ascii="Times New Roman" w:hAnsi="Times New Roman" w:cs="Times New Roman"/>
                <w:sz w:val="24"/>
                <w:szCs w:val="24"/>
              </w:rPr>
              <w:t xml:space="preserve">dječjih i školskih igrališta, školskih sportskih dvorana, </w:t>
            </w:r>
            <w:r w:rsidRPr="00C0186C">
              <w:rPr>
                <w:rFonts w:ascii="Times New Roman" w:hAnsi="Times New Roman" w:cs="Times New Roman"/>
                <w:sz w:val="24"/>
                <w:szCs w:val="24"/>
              </w:rPr>
              <w:t>tehnička pomoć radu vrtića i jaslica i slično</w:t>
            </w:r>
            <w:r w:rsidR="00256C3E" w:rsidRPr="00C0186C">
              <w:rPr>
                <w:rFonts w:ascii="Times New Roman" w:hAnsi="Times New Roman" w:cs="Times New Roman"/>
                <w:sz w:val="24"/>
                <w:szCs w:val="24"/>
              </w:rPr>
              <w:t>).</w:t>
            </w:r>
          </w:p>
          <w:p w14:paraId="620E93AF" w14:textId="77777777" w:rsidR="00AD2D9F" w:rsidRPr="00C0186C" w:rsidRDefault="0083583A" w:rsidP="001630CD">
            <w:pPr>
              <w:numPr>
                <w:ilvl w:val="0"/>
                <w:numId w:val="10"/>
              </w:numPr>
              <w:spacing w:before="0" w:after="0"/>
              <w:ind w:left="323" w:hanging="283"/>
              <w:contextualSpacing/>
              <w:jc w:val="both"/>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Potpora postojećim pronatalitetnim mjerama i politikama u potpomognutim područjima</w:t>
            </w:r>
          </w:p>
          <w:p w14:paraId="3682B35B" w14:textId="2EFB5B87" w:rsidR="0083583A" w:rsidRPr="00C0186C" w:rsidRDefault="00C714CE" w:rsidP="00192D95">
            <w:pPr>
              <w:pStyle w:val="ListParagraph"/>
              <w:numPr>
                <w:ilvl w:val="1"/>
                <w:numId w:val="10"/>
              </w:numPr>
              <w:spacing w:before="0" w:after="0"/>
              <w:ind w:left="1279" w:hanging="567"/>
              <w:jc w:val="both"/>
              <w:rPr>
                <w:rFonts w:ascii="Times New Roman" w:hAnsi="Times New Roman" w:cs="Times New Roman"/>
                <w:b/>
                <w:sz w:val="24"/>
                <w:szCs w:val="24"/>
              </w:rPr>
            </w:pPr>
            <w:r w:rsidRPr="00C0186C">
              <w:rPr>
                <w:rFonts w:ascii="Times New Roman" w:eastAsia="Calibri" w:hAnsi="Times New Roman" w:cs="Times New Roman"/>
                <w:sz w:val="24"/>
                <w:szCs w:val="24"/>
              </w:rPr>
              <w:t>P</w:t>
            </w:r>
            <w:r w:rsidR="0083583A" w:rsidRPr="00C0186C">
              <w:rPr>
                <w:rFonts w:ascii="Times New Roman" w:eastAsia="Calibri" w:hAnsi="Times New Roman" w:cs="Times New Roman"/>
                <w:sz w:val="24"/>
                <w:szCs w:val="24"/>
              </w:rPr>
              <w:t xml:space="preserve">rovedba aktivnosti vezanih uz dodjelu i raspodjelu sredstava te oslobođenja plaćanja različitih nameta po osnovi roditeljstva i roditeljskog dopusta poput, primjerice, sufinanciranja olakšice za korisnike vrtića, sufinanciranja sustava porodiljinih naknada i povlasticama u </w:t>
            </w:r>
            <w:r w:rsidR="007038CF" w:rsidRPr="00C0186C">
              <w:rPr>
                <w:rFonts w:ascii="Times New Roman" w:eastAsia="Calibri" w:hAnsi="Times New Roman" w:cs="Times New Roman"/>
                <w:sz w:val="24"/>
                <w:szCs w:val="24"/>
              </w:rPr>
              <w:t>JLS</w:t>
            </w:r>
            <w:r w:rsidR="0083583A" w:rsidRPr="00C0186C">
              <w:rPr>
                <w:rFonts w:ascii="Times New Roman" w:eastAsia="Calibri" w:hAnsi="Times New Roman" w:cs="Times New Roman"/>
                <w:sz w:val="24"/>
                <w:szCs w:val="24"/>
              </w:rPr>
              <w:t>-</w:t>
            </w:r>
            <w:r w:rsidR="00050AE0">
              <w:rPr>
                <w:rFonts w:ascii="Times New Roman" w:eastAsia="Calibri" w:hAnsi="Times New Roman" w:cs="Times New Roman"/>
                <w:sz w:val="24"/>
                <w:szCs w:val="24"/>
              </w:rPr>
              <w:t>ovima</w:t>
            </w:r>
            <w:r w:rsidR="0083583A" w:rsidRPr="00C0186C">
              <w:rPr>
                <w:rFonts w:ascii="Times New Roman" w:eastAsia="Calibri" w:hAnsi="Times New Roman" w:cs="Times New Roman"/>
                <w:sz w:val="24"/>
                <w:szCs w:val="24"/>
              </w:rPr>
              <w:t>, olakšavanje odgoja i brige o djeci socijalno, zdravstveno i materijalno ugroženim obiteljima.</w:t>
            </w:r>
          </w:p>
        </w:tc>
      </w:tr>
      <w:tr w:rsidR="0083583A" w:rsidRPr="00C0186C" w14:paraId="3DAFD75E" w14:textId="77777777" w:rsidTr="00E4439F">
        <w:trPr>
          <w:trHeight w:val="600"/>
        </w:trPr>
        <w:tc>
          <w:tcPr>
            <w:tcW w:w="2547" w:type="dxa"/>
            <w:shd w:val="clear" w:color="auto" w:fill="5B9BD5" w:themeFill="accent1"/>
            <w:noWrap/>
            <w:vAlign w:val="center"/>
          </w:tcPr>
          <w:p w14:paraId="38AB8F5C" w14:textId="77777777" w:rsidR="0083583A" w:rsidRPr="00E4439F" w:rsidRDefault="0083583A" w:rsidP="00B70EE8">
            <w:pPr>
              <w:spacing w:before="0" w:after="0"/>
              <w:rPr>
                <w:rFonts w:ascii="Times New Roman" w:eastAsia="Times New Roman" w:hAnsi="Times New Roman" w:cs="Times New Roman"/>
                <w:b/>
                <w:color w:val="FFFFFF" w:themeColor="background1"/>
                <w:sz w:val="24"/>
                <w:szCs w:val="24"/>
                <w:lang w:eastAsia="hr-HR"/>
              </w:rPr>
            </w:pPr>
            <w:r w:rsidRPr="00E4439F">
              <w:rPr>
                <w:rFonts w:ascii="Times New Roman" w:eastAsia="Times New Roman" w:hAnsi="Times New Roman" w:cs="Times New Roman"/>
                <w:b/>
                <w:color w:val="FFFFFF" w:themeColor="background1"/>
                <w:sz w:val="24"/>
                <w:szCs w:val="24"/>
                <w:lang w:eastAsia="hr-HR"/>
              </w:rPr>
              <w:t>Mjera 2.3.</w:t>
            </w:r>
          </w:p>
        </w:tc>
        <w:tc>
          <w:tcPr>
            <w:tcW w:w="7115" w:type="dxa"/>
            <w:shd w:val="clear" w:color="auto" w:fill="5B9BD5" w:themeFill="accent1"/>
            <w:vAlign w:val="center"/>
          </w:tcPr>
          <w:p w14:paraId="28A78541" w14:textId="7D4EF3CC" w:rsidR="0083583A" w:rsidRPr="00DF5007" w:rsidRDefault="0089343B" w:rsidP="00B70EE8">
            <w:pPr>
              <w:spacing w:before="0" w:after="0"/>
              <w:jc w:val="both"/>
              <w:rPr>
                <w:rFonts w:ascii="Times New Roman" w:eastAsia="Times New Roman" w:hAnsi="Times New Roman" w:cs="Times New Roman"/>
                <w:b/>
                <w:color w:val="FFFFFF" w:themeColor="background1"/>
                <w:sz w:val="24"/>
                <w:szCs w:val="24"/>
                <w:lang w:eastAsia="hr-HR"/>
              </w:rPr>
            </w:pPr>
            <w:r w:rsidRPr="00416115">
              <w:rPr>
                <w:rFonts w:ascii="Times New Roman" w:eastAsia="Times New Roman" w:hAnsi="Times New Roman" w:cs="Times New Roman"/>
                <w:b/>
                <w:color w:val="FFFFFF" w:themeColor="background1"/>
                <w:sz w:val="24"/>
                <w:szCs w:val="24"/>
                <w:lang w:eastAsia="hr-HR"/>
              </w:rPr>
              <w:t>EKONOMSKA I SOCIJALNA INTEGRACIJA RANJIVIH DRUŠTVENIH SKUPINA U LOKALNU ZAJEDNICU</w:t>
            </w:r>
          </w:p>
        </w:tc>
      </w:tr>
      <w:tr w:rsidR="0083583A" w:rsidRPr="00C0186C" w14:paraId="0FDBF7A3" w14:textId="77777777" w:rsidTr="00D32164">
        <w:trPr>
          <w:trHeight w:val="600"/>
        </w:trPr>
        <w:tc>
          <w:tcPr>
            <w:tcW w:w="2547" w:type="dxa"/>
            <w:shd w:val="clear" w:color="auto" w:fill="DEEAF6" w:themeFill="accent1" w:themeFillTint="33"/>
            <w:noWrap/>
            <w:vAlign w:val="center"/>
          </w:tcPr>
          <w:p w14:paraId="1DE6194D" w14:textId="77777777" w:rsidR="0083583A" w:rsidRPr="00C0186C" w:rsidRDefault="0083583A" w:rsidP="00B70EE8">
            <w:pPr>
              <w:spacing w:before="0" w:after="0"/>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 xml:space="preserve">Područje djelovanja </w:t>
            </w:r>
          </w:p>
        </w:tc>
        <w:tc>
          <w:tcPr>
            <w:tcW w:w="7115" w:type="dxa"/>
            <w:shd w:val="clear" w:color="auto" w:fill="DEEAF6" w:themeFill="accent1" w:themeFillTint="33"/>
            <w:vAlign w:val="center"/>
          </w:tcPr>
          <w:p w14:paraId="1F6564E2" w14:textId="77777777" w:rsidR="0083583A" w:rsidRPr="00DF5007" w:rsidRDefault="0083583A" w:rsidP="00B70EE8">
            <w:pPr>
              <w:spacing w:before="0" w:after="0"/>
              <w:jc w:val="both"/>
              <w:rPr>
                <w:rFonts w:ascii="Times New Roman" w:eastAsia="Times New Roman" w:hAnsi="Times New Roman" w:cs="Times New Roman"/>
                <w:b/>
                <w:sz w:val="24"/>
                <w:szCs w:val="24"/>
                <w:lang w:eastAsia="hr-HR"/>
              </w:rPr>
            </w:pPr>
            <w:r w:rsidRPr="00DF5007">
              <w:rPr>
                <w:rFonts w:ascii="Times New Roman" w:eastAsia="Times New Roman" w:hAnsi="Times New Roman" w:cs="Times New Roman"/>
                <w:b/>
                <w:sz w:val="24"/>
                <w:szCs w:val="24"/>
                <w:lang w:eastAsia="hr-HR"/>
              </w:rPr>
              <w:t>Socijalna mjera; gospodarska mjera</w:t>
            </w:r>
          </w:p>
        </w:tc>
      </w:tr>
      <w:tr w:rsidR="0083583A" w:rsidRPr="00C0186C" w14:paraId="26240875" w14:textId="77777777" w:rsidTr="00D32164">
        <w:trPr>
          <w:trHeight w:val="600"/>
        </w:trPr>
        <w:tc>
          <w:tcPr>
            <w:tcW w:w="2547" w:type="dxa"/>
            <w:shd w:val="clear" w:color="auto" w:fill="DEEAF6" w:themeFill="accent1" w:themeFillTint="33"/>
            <w:noWrap/>
            <w:vAlign w:val="center"/>
          </w:tcPr>
          <w:p w14:paraId="04B7F146" w14:textId="77777777" w:rsidR="0083583A" w:rsidRPr="00C0186C" w:rsidRDefault="0083583A" w:rsidP="00B70EE8">
            <w:pPr>
              <w:spacing w:before="0" w:after="0"/>
              <w:rPr>
                <w:rFonts w:ascii="Times New Roman" w:eastAsia="Times New Roman" w:hAnsi="Times New Roman" w:cs="Times New Roman"/>
                <w:b/>
                <w:sz w:val="24"/>
                <w:szCs w:val="24"/>
                <w:lang w:eastAsia="hr-HR"/>
              </w:rPr>
            </w:pPr>
            <w:bookmarkStart w:id="28" w:name="_Hlk27385711"/>
            <w:r w:rsidRPr="00C0186C">
              <w:rPr>
                <w:rFonts w:ascii="Times New Roman" w:eastAsia="Times New Roman" w:hAnsi="Times New Roman" w:cs="Times New Roman"/>
                <w:b/>
                <w:sz w:val="24"/>
                <w:szCs w:val="24"/>
                <w:lang w:eastAsia="hr-HR"/>
              </w:rPr>
              <w:t>Ishodi</w:t>
            </w:r>
          </w:p>
        </w:tc>
        <w:tc>
          <w:tcPr>
            <w:tcW w:w="7115" w:type="dxa"/>
            <w:shd w:val="clear" w:color="auto" w:fill="DEEAF6" w:themeFill="accent1" w:themeFillTint="33"/>
            <w:vAlign w:val="center"/>
          </w:tcPr>
          <w:p w14:paraId="4756D2F9" w14:textId="1B1B3C9C" w:rsidR="00501BCB" w:rsidRPr="00DF5007" w:rsidRDefault="00501BCB" w:rsidP="00B70EE8">
            <w:pPr>
              <w:spacing w:before="0" w:after="0"/>
              <w:rPr>
                <w:rFonts w:ascii="Times New Roman" w:eastAsia="Times New Roman" w:hAnsi="Times New Roman" w:cs="Times New Roman"/>
                <w:b/>
                <w:sz w:val="24"/>
                <w:szCs w:val="24"/>
                <w:lang w:eastAsia="hr-HR"/>
              </w:rPr>
            </w:pPr>
            <w:r w:rsidRPr="00DF5007">
              <w:rPr>
                <w:rFonts w:ascii="Times New Roman" w:eastAsia="Times New Roman" w:hAnsi="Times New Roman" w:cs="Times New Roman"/>
                <w:b/>
                <w:sz w:val="24"/>
                <w:szCs w:val="24"/>
                <w:lang w:eastAsia="hr-HR"/>
              </w:rPr>
              <w:t xml:space="preserve">Povećanje broja dostupnih socijalnih usluga za ranjive društvene skupine  </w:t>
            </w:r>
          </w:p>
          <w:p w14:paraId="34A7D85C" w14:textId="2E295D0B" w:rsidR="0083583A" w:rsidRPr="00DF5007" w:rsidRDefault="00501BCB" w:rsidP="00B70EE8">
            <w:pPr>
              <w:spacing w:before="0" w:after="0"/>
              <w:jc w:val="both"/>
              <w:rPr>
                <w:rFonts w:ascii="Times New Roman" w:eastAsia="Times New Roman" w:hAnsi="Times New Roman" w:cs="Times New Roman"/>
                <w:b/>
                <w:sz w:val="24"/>
                <w:szCs w:val="24"/>
                <w:lang w:eastAsia="hr-HR"/>
              </w:rPr>
            </w:pPr>
            <w:r w:rsidRPr="00DF5007">
              <w:rPr>
                <w:rFonts w:ascii="Times New Roman" w:eastAsia="Times New Roman" w:hAnsi="Times New Roman" w:cs="Times New Roman"/>
                <w:b/>
                <w:sz w:val="24"/>
                <w:szCs w:val="24"/>
                <w:lang w:eastAsia="hr-HR"/>
              </w:rPr>
              <w:t>Veća participacija ranjivih društvenih skupina u aktivnostima lokalne zajednice</w:t>
            </w:r>
          </w:p>
        </w:tc>
      </w:tr>
      <w:bookmarkEnd w:id="28"/>
      <w:tr w:rsidR="0083583A" w:rsidRPr="00C0186C" w14:paraId="67D78DEE" w14:textId="77777777" w:rsidTr="00D32164">
        <w:trPr>
          <w:trHeight w:val="600"/>
        </w:trPr>
        <w:tc>
          <w:tcPr>
            <w:tcW w:w="2547" w:type="dxa"/>
            <w:shd w:val="clear" w:color="auto" w:fill="DEEAF6" w:themeFill="accent1" w:themeFillTint="33"/>
            <w:noWrap/>
            <w:vAlign w:val="center"/>
          </w:tcPr>
          <w:p w14:paraId="4F652B79" w14:textId="58CDD235" w:rsidR="0083583A" w:rsidRPr="00C0186C" w:rsidRDefault="0083583A" w:rsidP="00B70EE8">
            <w:pPr>
              <w:spacing w:before="0" w:after="0"/>
              <w:rPr>
                <w:rFonts w:ascii="Times New Roman" w:eastAsia="Times New Roman" w:hAnsi="Times New Roman" w:cs="Times New Roman"/>
                <w:b/>
                <w:sz w:val="24"/>
                <w:szCs w:val="24"/>
                <w:lang w:eastAsia="hr-HR"/>
              </w:rPr>
            </w:pPr>
            <w:r w:rsidRPr="00C0186C">
              <w:rPr>
                <w:rFonts w:ascii="Times New Roman" w:eastAsia="Times New Roman" w:hAnsi="Times New Roman" w:cs="Times New Roman"/>
                <w:b/>
                <w:sz w:val="24"/>
                <w:szCs w:val="24"/>
                <w:lang w:eastAsia="hr-HR"/>
              </w:rPr>
              <w:t xml:space="preserve">Aktivnosti/projekti </w:t>
            </w:r>
          </w:p>
        </w:tc>
        <w:tc>
          <w:tcPr>
            <w:tcW w:w="7115" w:type="dxa"/>
            <w:shd w:val="clear" w:color="auto" w:fill="DEEAF6" w:themeFill="accent1" w:themeFillTint="33"/>
            <w:vAlign w:val="center"/>
          </w:tcPr>
          <w:p w14:paraId="2A947904" w14:textId="4163FFD9" w:rsidR="0083583A" w:rsidRPr="00DF5007" w:rsidRDefault="0089343B" w:rsidP="001630CD">
            <w:pPr>
              <w:numPr>
                <w:ilvl w:val="0"/>
                <w:numId w:val="6"/>
              </w:numPr>
              <w:spacing w:before="0" w:after="120"/>
              <w:ind w:left="323" w:hanging="283"/>
              <w:contextualSpacing/>
              <w:jc w:val="both"/>
              <w:rPr>
                <w:rFonts w:ascii="Times New Roman" w:eastAsia="Times New Roman" w:hAnsi="Times New Roman" w:cs="Times New Roman"/>
                <w:b/>
                <w:sz w:val="24"/>
                <w:szCs w:val="24"/>
                <w:lang w:eastAsia="hr-HR"/>
              </w:rPr>
            </w:pPr>
            <w:bookmarkStart w:id="29" w:name="_Hlk27348306"/>
            <w:r w:rsidRPr="00DF5007">
              <w:rPr>
                <w:rFonts w:ascii="Times New Roman" w:eastAsia="Times New Roman" w:hAnsi="Times New Roman" w:cs="Times New Roman"/>
                <w:b/>
                <w:sz w:val="24"/>
                <w:szCs w:val="24"/>
                <w:lang w:eastAsia="hr-HR"/>
              </w:rPr>
              <w:t>Povećanje broja dostupnih socijalnih usluga za ranjive društvene skupine</w:t>
            </w:r>
          </w:p>
          <w:p w14:paraId="2B2480A0" w14:textId="24031EA9" w:rsidR="0089343B" w:rsidRPr="006C4249" w:rsidRDefault="0089343B" w:rsidP="00CA63B9">
            <w:pPr>
              <w:pStyle w:val="ListParagraph"/>
              <w:numPr>
                <w:ilvl w:val="1"/>
                <w:numId w:val="34"/>
              </w:numPr>
              <w:spacing w:before="0" w:after="120"/>
              <w:jc w:val="both"/>
              <w:rPr>
                <w:rFonts w:ascii="Times New Roman" w:eastAsia="Times New Roman" w:hAnsi="Times New Roman" w:cs="Times New Roman"/>
                <w:sz w:val="24"/>
                <w:szCs w:val="24"/>
                <w:lang w:eastAsia="hr-HR"/>
              </w:rPr>
            </w:pPr>
            <w:r w:rsidRPr="006C4249">
              <w:rPr>
                <w:rFonts w:ascii="Times New Roman" w:eastAsia="Times New Roman" w:hAnsi="Times New Roman" w:cs="Times New Roman"/>
                <w:sz w:val="24"/>
                <w:szCs w:val="24"/>
                <w:lang w:eastAsia="hr-HR"/>
              </w:rPr>
              <w:t>Sufinanciranje i podrška provedbi aktivnosti, projekata programa za razvoj djelatnosti u javnom, civilnom i privatnom sektoru koje će pridonijeti novim, kvalitetnim i dostupnijim socijalnim uslugama (u području smještaja, skrbi u zajednici, socijalnog uključivanja i radne aktivacije, uključivanja u obrazovne programe, osobnog osnaživanja i povećanja kvalitete života.)</w:t>
            </w:r>
          </w:p>
          <w:p w14:paraId="3F17AC63" w14:textId="2D0DBAE3" w:rsidR="0083583A" w:rsidRPr="00DF5007" w:rsidRDefault="0089343B" w:rsidP="00CA63B9">
            <w:pPr>
              <w:pStyle w:val="ListParagraph"/>
              <w:numPr>
                <w:ilvl w:val="1"/>
                <w:numId w:val="34"/>
              </w:numPr>
              <w:spacing w:before="0" w:after="0"/>
              <w:jc w:val="both"/>
              <w:rPr>
                <w:rFonts w:ascii="Times New Roman" w:eastAsia="Times New Roman" w:hAnsi="Times New Roman" w:cs="Times New Roman"/>
                <w:sz w:val="24"/>
                <w:szCs w:val="24"/>
                <w:lang w:eastAsia="hr-HR"/>
              </w:rPr>
            </w:pPr>
            <w:r w:rsidRPr="00DF5007">
              <w:rPr>
                <w:rFonts w:ascii="Times New Roman" w:eastAsia="Times New Roman" w:hAnsi="Times New Roman" w:cs="Times New Roman"/>
                <w:sz w:val="24"/>
                <w:szCs w:val="24"/>
                <w:lang w:eastAsia="hr-HR"/>
              </w:rPr>
              <w:t xml:space="preserve">Sufinanciranje i podrška provedbi projekata koji su </w:t>
            </w:r>
            <w:r w:rsidR="00BA2219" w:rsidRPr="00DF5007">
              <w:rPr>
                <w:rFonts w:ascii="Times New Roman" w:eastAsia="Times New Roman" w:hAnsi="Times New Roman" w:cs="Times New Roman"/>
                <w:sz w:val="24"/>
                <w:szCs w:val="24"/>
                <w:lang w:eastAsia="hr-HR"/>
              </w:rPr>
              <w:t xml:space="preserve"> </w:t>
            </w:r>
            <w:r w:rsidRPr="00DF5007">
              <w:rPr>
                <w:rFonts w:ascii="Times New Roman" w:eastAsia="Times New Roman" w:hAnsi="Times New Roman" w:cs="Times New Roman"/>
                <w:sz w:val="24"/>
                <w:szCs w:val="24"/>
                <w:lang w:eastAsia="hr-HR"/>
              </w:rPr>
              <w:t>namijenjeni povećanju dostupnosti socijalnih usluga kroz razvoj mobilnih, multifunkcionalnih, dislociranih socijalnih i zdravstvenih usluga ili usluga na daljinu</w:t>
            </w:r>
          </w:p>
          <w:p w14:paraId="1ED27C6D" w14:textId="77777777" w:rsidR="0089343B" w:rsidRPr="00DF5007" w:rsidRDefault="0089343B" w:rsidP="00B70EE8">
            <w:pPr>
              <w:spacing w:before="0" w:after="120"/>
              <w:ind w:left="720"/>
              <w:contextualSpacing/>
              <w:jc w:val="both"/>
              <w:rPr>
                <w:rFonts w:ascii="Times New Roman" w:eastAsia="Times New Roman" w:hAnsi="Times New Roman" w:cs="Times New Roman"/>
                <w:sz w:val="24"/>
                <w:szCs w:val="24"/>
                <w:lang w:eastAsia="hr-HR"/>
              </w:rPr>
            </w:pPr>
          </w:p>
          <w:p w14:paraId="3A813C6B" w14:textId="005464E6" w:rsidR="0089343B" w:rsidRPr="00DF5007" w:rsidRDefault="0089343B" w:rsidP="001630CD">
            <w:pPr>
              <w:numPr>
                <w:ilvl w:val="0"/>
                <w:numId w:val="6"/>
              </w:numPr>
              <w:spacing w:before="0" w:after="120"/>
              <w:ind w:left="323" w:hanging="283"/>
              <w:contextualSpacing/>
              <w:jc w:val="both"/>
              <w:rPr>
                <w:rFonts w:ascii="Times New Roman" w:eastAsia="Times New Roman" w:hAnsi="Times New Roman" w:cs="Times New Roman"/>
                <w:b/>
                <w:sz w:val="24"/>
                <w:szCs w:val="24"/>
                <w:lang w:eastAsia="hr-HR"/>
              </w:rPr>
            </w:pPr>
            <w:r w:rsidRPr="00DF5007">
              <w:rPr>
                <w:rFonts w:ascii="Times New Roman" w:eastAsia="Times New Roman" w:hAnsi="Times New Roman" w:cs="Times New Roman"/>
                <w:b/>
                <w:sz w:val="24"/>
                <w:szCs w:val="24"/>
                <w:lang w:eastAsia="hr-HR"/>
              </w:rPr>
              <w:t>Veća participacija ranjivih društvenih skupina u aktivnostima lokalne zajednice</w:t>
            </w:r>
          </w:p>
          <w:bookmarkEnd w:id="29"/>
          <w:p w14:paraId="6E393715" w14:textId="77777777" w:rsidR="00BA2219" w:rsidRPr="00DF5007" w:rsidRDefault="0089343B" w:rsidP="00B70EE8">
            <w:pPr>
              <w:pStyle w:val="ListParagraph"/>
              <w:numPr>
                <w:ilvl w:val="1"/>
                <w:numId w:val="6"/>
              </w:numPr>
              <w:spacing w:before="0" w:after="120"/>
              <w:jc w:val="both"/>
              <w:rPr>
                <w:rFonts w:ascii="Times New Roman" w:hAnsi="Times New Roman" w:cs="Times New Roman"/>
                <w:sz w:val="24"/>
                <w:szCs w:val="24"/>
              </w:rPr>
            </w:pPr>
            <w:r w:rsidRPr="00DF5007">
              <w:rPr>
                <w:rFonts w:ascii="Times New Roman" w:hAnsi="Times New Roman" w:cs="Times New Roman"/>
                <w:sz w:val="24"/>
                <w:szCs w:val="24"/>
              </w:rPr>
              <w:t>Sufinanciranje i podrška provedbi  aktivnosti, projekata i programa koji su usmjereni na poticanje uključivanja ranjivih društvenih skupina u aktivnosti zajednice (primjerice kroz klubove ili centre u zajednici, socijalizacijske, kreativne, umjetničke ili volonterske aktivnosti)</w:t>
            </w:r>
          </w:p>
          <w:p w14:paraId="66F533F8" w14:textId="446EEAF9" w:rsidR="0083583A" w:rsidRPr="00DF5007" w:rsidRDefault="0089343B" w:rsidP="00B70EE8">
            <w:pPr>
              <w:pStyle w:val="ListParagraph"/>
              <w:numPr>
                <w:ilvl w:val="1"/>
                <w:numId w:val="6"/>
              </w:numPr>
              <w:spacing w:before="0" w:after="120"/>
              <w:jc w:val="both"/>
              <w:rPr>
                <w:rFonts w:ascii="Times New Roman" w:hAnsi="Times New Roman" w:cs="Times New Roman"/>
                <w:sz w:val="24"/>
                <w:szCs w:val="24"/>
              </w:rPr>
            </w:pPr>
            <w:r w:rsidRPr="00DF5007">
              <w:rPr>
                <w:rFonts w:ascii="Times New Roman" w:hAnsi="Times New Roman" w:cs="Times New Roman"/>
                <w:sz w:val="24"/>
                <w:szCs w:val="24"/>
              </w:rPr>
              <w:t>Otvaranje mogućnosti za aktivaciju radnog i poduzetničkog potencijala ranjivih društvenih skupina .</w:t>
            </w:r>
          </w:p>
        </w:tc>
      </w:tr>
      <w:bookmarkEnd w:id="22"/>
    </w:tbl>
    <w:p w14:paraId="60AA100D" w14:textId="77777777" w:rsidR="00A4421B" w:rsidRPr="00C0186C" w:rsidRDefault="00A4421B" w:rsidP="00B70EE8">
      <w:pPr>
        <w:spacing w:before="0" w:after="0"/>
        <w:rPr>
          <w:rFonts w:ascii="Times New Roman" w:eastAsia="Calibri" w:hAnsi="Times New Roman" w:cs="Times New Roman"/>
          <w:b/>
          <w:bCs/>
          <w:sz w:val="24"/>
          <w:szCs w:val="24"/>
        </w:rPr>
      </w:pPr>
    </w:p>
    <w:p w14:paraId="0E51DF16" w14:textId="76599474" w:rsidR="008C5744" w:rsidRPr="00DF5007" w:rsidRDefault="00893725" w:rsidP="00B70EE8">
      <w:pPr>
        <w:pStyle w:val="Heading2"/>
        <w:spacing w:before="0"/>
        <w:rPr>
          <w:rFonts w:ascii="Times New Roman" w:eastAsia="Verdana" w:hAnsi="Times New Roman" w:cs="Times New Roman"/>
          <w:b/>
          <w:bCs/>
          <w:sz w:val="24"/>
          <w:szCs w:val="24"/>
        </w:rPr>
      </w:pPr>
      <w:bookmarkStart w:id="30" w:name="_Toc87870250"/>
      <w:bookmarkStart w:id="31" w:name="_Toc95891865"/>
      <w:r w:rsidRPr="00DF5007">
        <w:rPr>
          <w:rFonts w:ascii="Times New Roman" w:eastAsia="Verdana" w:hAnsi="Times New Roman" w:cs="Times New Roman"/>
          <w:b/>
          <w:bCs/>
          <w:sz w:val="24"/>
          <w:szCs w:val="24"/>
        </w:rPr>
        <w:t xml:space="preserve">5.3. </w:t>
      </w:r>
      <w:r w:rsidR="002B4599" w:rsidRPr="00DF5007">
        <w:rPr>
          <w:rFonts w:ascii="Times New Roman" w:eastAsia="Verdana" w:hAnsi="Times New Roman" w:cs="Times New Roman"/>
          <w:b/>
          <w:bCs/>
          <w:caps w:val="0"/>
          <w:sz w:val="24"/>
          <w:szCs w:val="24"/>
        </w:rPr>
        <w:t>NOVA KARTA REGIONALNIH POTPORA</w:t>
      </w:r>
      <w:bookmarkEnd w:id="30"/>
      <w:bookmarkEnd w:id="31"/>
    </w:p>
    <w:p w14:paraId="75E7F4D4" w14:textId="77777777" w:rsidR="008C5744" w:rsidRPr="00C0186C" w:rsidRDefault="008C5744" w:rsidP="00B70EE8">
      <w:pPr>
        <w:spacing w:before="0"/>
        <w:rPr>
          <w:rFonts w:ascii="Times New Roman" w:hAnsi="Times New Roman" w:cs="Times New Roman"/>
        </w:rPr>
      </w:pPr>
      <w:r w:rsidRPr="00C0186C">
        <w:rPr>
          <w:rFonts w:ascii="Times New Roman" w:hAnsi="Times New Roman" w:cs="Times New Roman"/>
          <w:noProof/>
        </w:rPr>
        <w:drawing>
          <wp:inline distT="0" distB="0" distL="0" distR="0" wp14:anchorId="3601C8EC" wp14:editId="7D85E15E">
            <wp:extent cx="5760720" cy="4839970"/>
            <wp:effectExtent l="0" t="0" r="0" b="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Map&#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4839970"/>
                    </a:xfrm>
                    <a:prstGeom prst="rect">
                      <a:avLst/>
                    </a:prstGeom>
                    <a:noFill/>
                    <a:ln>
                      <a:noFill/>
                    </a:ln>
                  </pic:spPr>
                </pic:pic>
              </a:graphicData>
            </a:graphic>
          </wp:inline>
        </w:drawing>
      </w:r>
    </w:p>
    <w:p w14:paraId="5EA85ECD" w14:textId="77777777" w:rsidR="008C5744" w:rsidRPr="00C0186C" w:rsidRDefault="008C5744" w:rsidP="006829FA">
      <w:pPr>
        <w:spacing w:before="0" w:after="0"/>
        <w:jc w:val="both"/>
        <w:rPr>
          <w:rFonts w:ascii="Times New Roman" w:eastAsia="Verdana" w:hAnsi="Times New Roman" w:cs="Times New Roman"/>
        </w:rPr>
      </w:pPr>
      <w:r w:rsidRPr="00C0186C">
        <w:rPr>
          <w:rFonts w:ascii="Times New Roman" w:eastAsia="Verdana" w:hAnsi="Times New Roman" w:cs="Times New Roman"/>
          <w:b/>
          <w:bCs/>
        </w:rPr>
        <w:t>Slika 1.</w:t>
      </w:r>
      <w:r w:rsidRPr="00C0186C">
        <w:rPr>
          <w:rFonts w:ascii="Times New Roman" w:eastAsia="Verdana" w:hAnsi="Times New Roman" w:cs="Times New Roman"/>
          <w:sz w:val="24"/>
          <w:szCs w:val="24"/>
        </w:rPr>
        <w:t xml:space="preserve"> </w:t>
      </w:r>
      <w:r w:rsidRPr="00C0186C">
        <w:rPr>
          <w:rFonts w:ascii="Times New Roman" w:eastAsia="Verdana" w:hAnsi="Times New Roman" w:cs="Times New Roman"/>
        </w:rPr>
        <w:t>Prikaz osnovnog intenziteta regionalnih potpora na NUTS3 razini s primjenom uvećanja stope financiranja za regije prihvatljive za Fond za pravednu tranziciju</w:t>
      </w:r>
    </w:p>
    <w:p w14:paraId="7C49CCFD" w14:textId="77777777" w:rsidR="008C5744" w:rsidRPr="00C0186C" w:rsidRDefault="008C5744" w:rsidP="006829FA">
      <w:pPr>
        <w:spacing w:before="0" w:after="0"/>
        <w:jc w:val="both"/>
        <w:rPr>
          <w:rFonts w:ascii="Times New Roman" w:eastAsia="Verdana" w:hAnsi="Times New Roman" w:cs="Times New Roman"/>
        </w:rPr>
      </w:pPr>
    </w:p>
    <w:p w14:paraId="364A030B" w14:textId="77777777" w:rsidR="008C5744" w:rsidRPr="00C0186C" w:rsidRDefault="008C5744" w:rsidP="00B70EE8">
      <w:pPr>
        <w:spacing w:before="0"/>
        <w:rPr>
          <w:rFonts w:ascii="Times New Roman" w:eastAsia="Verdana" w:hAnsi="Times New Roman" w:cs="Times New Roman"/>
          <w:sz w:val="24"/>
          <w:szCs w:val="24"/>
        </w:rPr>
      </w:pPr>
      <w:r w:rsidRPr="00C0186C">
        <w:rPr>
          <w:rFonts w:ascii="Times New Roman" w:eastAsia="Verdana" w:hAnsi="Times New Roman" w:cs="Times New Roman"/>
          <w:sz w:val="24"/>
          <w:szCs w:val="24"/>
        </w:rPr>
        <w:t>U skladu s tim, maksimalni intenziteti za velika poduzeća koji se mogu dodijeliti su sljedeći:</w:t>
      </w:r>
    </w:p>
    <w:p w14:paraId="50637DA9" w14:textId="77777777" w:rsidR="008C5744" w:rsidRPr="00C0186C" w:rsidRDefault="008C5744" w:rsidP="00CA63B9">
      <w:pPr>
        <w:numPr>
          <w:ilvl w:val="0"/>
          <w:numId w:val="35"/>
        </w:numPr>
        <w:spacing w:before="0"/>
        <w:contextualSpacing/>
        <w:rPr>
          <w:rFonts w:ascii="Times New Roman" w:eastAsia="Verdana" w:hAnsi="Times New Roman" w:cs="Times New Roman"/>
          <w:sz w:val="24"/>
          <w:szCs w:val="24"/>
        </w:rPr>
      </w:pPr>
      <w:r w:rsidRPr="00C0186C">
        <w:rPr>
          <w:rFonts w:ascii="Times New Roman" w:eastAsia="Verdana" w:hAnsi="Times New Roman" w:cs="Times New Roman"/>
          <w:sz w:val="24"/>
          <w:szCs w:val="24"/>
        </w:rPr>
        <w:t>U Panonskoj Hrvatskoj 50% jer doseže 41,58 % prosječnog BDP-a po stanovniku u EU-27. (što je + 25% više nego sada);</w:t>
      </w:r>
    </w:p>
    <w:p w14:paraId="13D88CDF" w14:textId="77777777" w:rsidR="008C5744" w:rsidRPr="00C0186C" w:rsidRDefault="008C5744" w:rsidP="00CA63B9">
      <w:pPr>
        <w:numPr>
          <w:ilvl w:val="0"/>
          <w:numId w:val="35"/>
        </w:numPr>
        <w:spacing w:before="0"/>
        <w:contextualSpacing/>
        <w:rPr>
          <w:rFonts w:ascii="Times New Roman" w:eastAsia="Verdana" w:hAnsi="Times New Roman" w:cs="Times New Roman"/>
          <w:sz w:val="24"/>
          <w:szCs w:val="24"/>
        </w:rPr>
      </w:pPr>
      <w:r w:rsidRPr="00C0186C">
        <w:rPr>
          <w:rFonts w:ascii="Times New Roman" w:eastAsia="Verdana" w:hAnsi="Times New Roman" w:cs="Times New Roman"/>
          <w:sz w:val="24"/>
          <w:szCs w:val="24"/>
        </w:rPr>
        <w:t>U Sjevernoj Hrvatskoj 50% jer doseže 48,43 % prosječnog BDP-a po stanovniku u EU-27. (što + 25% nego sada);</w:t>
      </w:r>
    </w:p>
    <w:p w14:paraId="75A0FDA2" w14:textId="77777777" w:rsidR="008C5744" w:rsidRPr="00C0186C" w:rsidRDefault="008C5744" w:rsidP="00CA63B9">
      <w:pPr>
        <w:numPr>
          <w:ilvl w:val="0"/>
          <w:numId w:val="35"/>
        </w:numPr>
        <w:spacing w:before="0"/>
        <w:contextualSpacing/>
        <w:rPr>
          <w:rFonts w:ascii="Times New Roman" w:eastAsia="Verdana" w:hAnsi="Times New Roman" w:cs="Times New Roman"/>
          <w:sz w:val="24"/>
          <w:szCs w:val="24"/>
        </w:rPr>
      </w:pPr>
      <w:r w:rsidRPr="00C0186C">
        <w:rPr>
          <w:rFonts w:ascii="Times New Roman" w:eastAsia="Verdana" w:hAnsi="Times New Roman" w:cs="Times New Roman"/>
          <w:sz w:val="24"/>
          <w:szCs w:val="24"/>
        </w:rPr>
        <w:t>U Jadranskoj Hrvatskoj 40% jer doseže 60,33 % prosječnog BDP-a po stanovniku u EU-27. (što je + 15% nego sada);</w:t>
      </w:r>
    </w:p>
    <w:p w14:paraId="3C2F19A7" w14:textId="77777777" w:rsidR="008C5744" w:rsidRPr="00C0186C" w:rsidRDefault="008C5744" w:rsidP="00CA63B9">
      <w:pPr>
        <w:numPr>
          <w:ilvl w:val="0"/>
          <w:numId w:val="35"/>
        </w:numPr>
        <w:spacing w:before="0"/>
        <w:contextualSpacing/>
        <w:rPr>
          <w:rFonts w:ascii="Times New Roman" w:eastAsia="Verdana" w:hAnsi="Times New Roman" w:cs="Times New Roman"/>
          <w:sz w:val="24"/>
          <w:szCs w:val="24"/>
        </w:rPr>
      </w:pPr>
      <w:r w:rsidRPr="00C0186C">
        <w:rPr>
          <w:rFonts w:ascii="Times New Roman" w:eastAsia="Verdana" w:hAnsi="Times New Roman" w:cs="Times New Roman"/>
          <w:sz w:val="24"/>
          <w:szCs w:val="24"/>
        </w:rPr>
        <w:t>U Gradu Zagrebu 35% jer doseže 109,24 % prosječnog BDP-a po stanovniku u EU-27 (što je + 10% nego sada).</w:t>
      </w:r>
    </w:p>
    <w:p w14:paraId="358C9459" w14:textId="08967878" w:rsidR="00935059" w:rsidRPr="00C0186C" w:rsidRDefault="00935059" w:rsidP="00B70EE8">
      <w:pPr>
        <w:spacing w:before="0"/>
        <w:contextualSpacing/>
        <w:rPr>
          <w:rFonts w:ascii="Times New Roman" w:eastAsia="Verdana" w:hAnsi="Times New Roman" w:cs="Times New Roman"/>
          <w:sz w:val="24"/>
          <w:szCs w:val="24"/>
        </w:rPr>
      </w:pPr>
    </w:p>
    <w:p w14:paraId="418FF08F" w14:textId="77777777" w:rsidR="008C5744" w:rsidRPr="00C0186C" w:rsidRDefault="008C5744" w:rsidP="006829FA">
      <w:pPr>
        <w:spacing w:before="0" w:after="0"/>
        <w:jc w:val="both"/>
        <w:rPr>
          <w:rFonts w:ascii="Times New Roman" w:eastAsia="Verdana" w:hAnsi="Times New Roman" w:cs="Times New Roman"/>
          <w:sz w:val="24"/>
          <w:szCs w:val="24"/>
        </w:rPr>
      </w:pPr>
      <w:r w:rsidRPr="00C0186C">
        <w:rPr>
          <w:rFonts w:ascii="Times New Roman" w:eastAsia="Verdana" w:hAnsi="Times New Roman" w:cs="Times New Roman"/>
          <w:sz w:val="24"/>
          <w:szCs w:val="24"/>
        </w:rPr>
        <w:t xml:space="preserve">Maksimalni intenzitet regionalne potpore uvećava se 10% za srednja i 20% za mala poduzeća. </w:t>
      </w:r>
    </w:p>
    <w:p w14:paraId="4A0C6F65" w14:textId="42884D93" w:rsidR="008C5744" w:rsidRPr="00C0186C" w:rsidRDefault="008C5744" w:rsidP="006829FA">
      <w:pPr>
        <w:spacing w:before="0" w:after="0"/>
        <w:jc w:val="both"/>
        <w:rPr>
          <w:rFonts w:ascii="Times New Roman" w:eastAsia="Verdana" w:hAnsi="Times New Roman" w:cs="Times New Roman"/>
          <w:sz w:val="24"/>
          <w:szCs w:val="24"/>
        </w:rPr>
      </w:pPr>
    </w:p>
    <w:p w14:paraId="40F668B9" w14:textId="77777777" w:rsidR="008C5744" w:rsidRPr="00C0186C" w:rsidRDefault="008C5744" w:rsidP="00B70EE8">
      <w:pPr>
        <w:spacing w:before="0" w:after="0"/>
        <w:jc w:val="both"/>
        <w:rPr>
          <w:rFonts w:ascii="Times New Roman" w:eastAsia="Verdana" w:hAnsi="Times New Roman" w:cs="Times New Roman"/>
          <w:sz w:val="24"/>
          <w:szCs w:val="24"/>
        </w:rPr>
      </w:pPr>
      <w:r w:rsidRPr="00C0186C">
        <w:rPr>
          <w:rFonts w:ascii="Times New Roman" w:eastAsia="Verdana" w:hAnsi="Times New Roman" w:cs="Times New Roman"/>
          <w:sz w:val="24"/>
          <w:szCs w:val="24"/>
        </w:rPr>
        <w:t>Kartom regionalnih potpora utvrđena su područja na kojima se mogu dodjeljivati državne potpore koje potiču gospodarski razvoj područja s niskim životnim standardom ili velikom nezaposlenošću te njihov maksimalni intenzitet.</w:t>
      </w:r>
    </w:p>
    <w:p w14:paraId="481C4BD6" w14:textId="77777777" w:rsidR="008C5744" w:rsidRPr="00C0186C" w:rsidRDefault="008C5744" w:rsidP="00B70EE8">
      <w:pPr>
        <w:spacing w:before="0" w:after="0"/>
        <w:jc w:val="both"/>
        <w:rPr>
          <w:rFonts w:ascii="Times New Roman" w:eastAsia="Verdana" w:hAnsi="Times New Roman" w:cs="Times New Roman"/>
          <w:sz w:val="24"/>
          <w:szCs w:val="24"/>
        </w:rPr>
      </w:pPr>
    </w:p>
    <w:p w14:paraId="0096274A" w14:textId="77777777" w:rsidR="008C5744" w:rsidRPr="00C0186C" w:rsidRDefault="008C5744" w:rsidP="00B70EE8">
      <w:pPr>
        <w:spacing w:before="0" w:after="0"/>
        <w:jc w:val="both"/>
        <w:rPr>
          <w:rFonts w:ascii="Times New Roman" w:eastAsia="Verdana" w:hAnsi="Times New Roman" w:cs="Times New Roman"/>
          <w:sz w:val="24"/>
          <w:szCs w:val="24"/>
        </w:rPr>
      </w:pPr>
      <w:r w:rsidRPr="00C0186C">
        <w:rPr>
          <w:rFonts w:ascii="Times New Roman" w:eastAsia="Verdana" w:hAnsi="Times New Roman" w:cs="Times New Roman"/>
          <w:sz w:val="24"/>
          <w:szCs w:val="24"/>
        </w:rPr>
        <w:t>Ranije izvršena podjela RH na dvije NUTS regije pokazala se tijekom primjene neadekvatnom i nepravednom za vođenje regionalne politike obzirom da je intenzitet potpore bio 25% bez obzira na regiju ulaganja.</w:t>
      </w:r>
    </w:p>
    <w:p w14:paraId="1B6DED7E" w14:textId="77777777" w:rsidR="008C5744" w:rsidRPr="00C0186C" w:rsidRDefault="008C5744" w:rsidP="00B70EE8">
      <w:pPr>
        <w:spacing w:before="0" w:after="0"/>
        <w:jc w:val="both"/>
        <w:rPr>
          <w:rFonts w:ascii="Times New Roman" w:eastAsia="Verdana" w:hAnsi="Times New Roman" w:cs="Times New Roman"/>
          <w:sz w:val="24"/>
          <w:szCs w:val="24"/>
        </w:rPr>
      </w:pPr>
    </w:p>
    <w:p w14:paraId="633CC9AC" w14:textId="50F1FE63" w:rsidR="008C5744" w:rsidRPr="00C0186C" w:rsidRDefault="008C5744" w:rsidP="00B70EE8">
      <w:pPr>
        <w:spacing w:before="0" w:after="0"/>
        <w:jc w:val="both"/>
        <w:rPr>
          <w:rFonts w:ascii="Times New Roman" w:eastAsia="Verdana" w:hAnsi="Times New Roman" w:cs="Times New Roman"/>
          <w:sz w:val="24"/>
          <w:szCs w:val="24"/>
        </w:rPr>
      </w:pPr>
      <w:r w:rsidRPr="00C0186C">
        <w:rPr>
          <w:rFonts w:ascii="Times New Roman" w:eastAsia="Verdana" w:hAnsi="Times New Roman" w:cs="Times New Roman"/>
          <w:sz w:val="24"/>
          <w:szCs w:val="24"/>
        </w:rPr>
        <w:t xml:space="preserve">Donošenje nove karte regionalnih potpora koja će stupiti na snagu s početkom 2022., omogućit će značajna uvećanja u intenzitetima sufinanciranja regionalnih državnih potpora na cijelom teritoriju </w:t>
      </w:r>
      <w:r w:rsidRPr="00C0186C">
        <w:rPr>
          <w:rFonts w:ascii="Times New Roman" w:eastAsia="Calibri" w:hAnsi="Times New Roman" w:cs="Times New Roman"/>
          <w:sz w:val="24"/>
          <w:szCs w:val="24"/>
        </w:rPr>
        <w:t>Republike Hrvatske</w:t>
      </w:r>
      <w:r w:rsidR="00935059" w:rsidRPr="00C0186C">
        <w:rPr>
          <w:rFonts w:ascii="Times New Roman" w:eastAsia="Verdana" w:hAnsi="Times New Roman" w:cs="Times New Roman"/>
          <w:sz w:val="24"/>
          <w:szCs w:val="24"/>
        </w:rPr>
        <w:t xml:space="preserve"> pa tako i na potpomognutim područjima</w:t>
      </w:r>
      <w:r w:rsidRPr="00C0186C">
        <w:rPr>
          <w:rFonts w:ascii="Times New Roman" w:eastAsia="Verdana" w:hAnsi="Times New Roman" w:cs="Times New Roman"/>
          <w:sz w:val="24"/>
          <w:szCs w:val="24"/>
        </w:rPr>
        <w:t xml:space="preserve">. </w:t>
      </w:r>
    </w:p>
    <w:p w14:paraId="2E11BB17" w14:textId="77777777" w:rsidR="008C5744" w:rsidRPr="00C0186C" w:rsidRDefault="008C5744" w:rsidP="00B70EE8">
      <w:pPr>
        <w:spacing w:before="0" w:after="0"/>
        <w:jc w:val="both"/>
        <w:rPr>
          <w:rFonts w:ascii="Times New Roman" w:eastAsia="Verdana" w:hAnsi="Times New Roman" w:cs="Times New Roman"/>
          <w:sz w:val="24"/>
          <w:szCs w:val="24"/>
        </w:rPr>
      </w:pPr>
    </w:p>
    <w:p w14:paraId="79433D37" w14:textId="77777777" w:rsidR="008C5744" w:rsidRPr="00C0186C" w:rsidRDefault="008C5744" w:rsidP="00B70EE8">
      <w:pPr>
        <w:spacing w:before="0" w:after="0"/>
        <w:jc w:val="both"/>
        <w:rPr>
          <w:rFonts w:ascii="Times New Roman" w:eastAsia="Verdana" w:hAnsi="Times New Roman" w:cs="Times New Roman"/>
          <w:sz w:val="24"/>
          <w:szCs w:val="24"/>
        </w:rPr>
      </w:pPr>
      <w:r w:rsidRPr="00C0186C">
        <w:rPr>
          <w:rFonts w:ascii="Times New Roman" w:eastAsia="Verdana" w:hAnsi="Times New Roman" w:cs="Times New Roman"/>
          <w:sz w:val="24"/>
          <w:szCs w:val="24"/>
        </w:rPr>
        <w:t>Smjernicama za regionalne državne potpore</w:t>
      </w:r>
      <w:r w:rsidRPr="00C0186C">
        <w:rPr>
          <w:rFonts w:ascii="Times New Roman" w:eastAsia="Verdana" w:hAnsi="Times New Roman" w:cs="Times New Roman"/>
          <w:sz w:val="24"/>
          <w:szCs w:val="24"/>
          <w:vertAlign w:val="superscript"/>
        </w:rPr>
        <w:footnoteReference w:id="11"/>
      </w:r>
      <w:r w:rsidRPr="00C0186C">
        <w:rPr>
          <w:rFonts w:ascii="Times New Roman" w:eastAsia="Verdana" w:hAnsi="Times New Roman" w:cs="Times New Roman"/>
          <w:sz w:val="24"/>
          <w:szCs w:val="24"/>
        </w:rPr>
        <w:t xml:space="preserve"> predviđeno je </w:t>
      </w:r>
      <w:r w:rsidRPr="00C0186C">
        <w:rPr>
          <w:rFonts w:ascii="Times New Roman" w:eastAsia="Verdana" w:hAnsi="Times New Roman" w:cs="Times New Roman"/>
          <w:b/>
          <w:bCs/>
          <w:sz w:val="24"/>
          <w:szCs w:val="24"/>
        </w:rPr>
        <w:t>dodatno uvećanje stopa</w:t>
      </w:r>
      <w:r w:rsidRPr="00C0186C">
        <w:rPr>
          <w:rFonts w:ascii="Times New Roman" w:eastAsia="Verdana" w:hAnsi="Times New Roman" w:cs="Times New Roman"/>
          <w:sz w:val="24"/>
          <w:szCs w:val="24"/>
        </w:rPr>
        <w:t xml:space="preserve"> podrške kod primjene regionalnih potpora za 10% za one NUTS3 regije koje su prihvatljive za Fond za pravednu tranziciju.</w:t>
      </w:r>
    </w:p>
    <w:p w14:paraId="23905B59" w14:textId="7D04040F" w:rsidR="008C5744" w:rsidRDefault="008C5744" w:rsidP="00B70EE8">
      <w:pPr>
        <w:spacing w:before="0" w:after="0"/>
        <w:jc w:val="both"/>
        <w:rPr>
          <w:rFonts w:ascii="Times New Roman" w:eastAsia="Verdana" w:hAnsi="Times New Roman" w:cs="Times New Roman"/>
          <w:sz w:val="24"/>
          <w:szCs w:val="24"/>
        </w:rPr>
      </w:pPr>
    </w:p>
    <w:p w14:paraId="1E1C9D07" w14:textId="77777777" w:rsidR="006829FA" w:rsidRPr="00C0186C" w:rsidRDefault="006829FA" w:rsidP="00B70EE8">
      <w:pPr>
        <w:spacing w:before="0" w:after="0"/>
        <w:jc w:val="both"/>
        <w:rPr>
          <w:rFonts w:ascii="Times New Roman" w:eastAsia="Verdana" w:hAnsi="Times New Roman" w:cs="Times New Roman"/>
          <w:sz w:val="24"/>
          <w:szCs w:val="24"/>
        </w:rPr>
      </w:pPr>
    </w:p>
    <w:p w14:paraId="366B504D" w14:textId="79306568" w:rsidR="00887B69" w:rsidRPr="00C0186C" w:rsidRDefault="002B4599" w:rsidP="00B70EE8">
      <w:pPr>
        <w:pStyle w:val="Heading2"/>
        <w:spacing w:before="0"/>
        <w:rPr>
          <w:rFonts w:ascii="Times New Roman" w:eastAsiaTheme="majorEastAsia" w:hAnsi="Times New Roman" w:cs="Times New Roman"/>
          <w:b/>
          <w:bCs/>
          <w:sz w:val="24"/>
          <w:szCs w:val="24"/>
          <w:lang w:eastAsia="hr-HR"/>
        </w:rPr>
      </w:pPr>
      <w:bookmarkStart w:id="32" w:name="_Toc95891866"/>
      <w:r w:rsidRPr="00C0186C">
        <w:rPr>
          <w:rFonts w:ascii="Times New Roman" w:eastAsiaTheme="majorEastAsia" w:hAnsi="Times New Roman" w:cs="Times New Roman"/>
          <w:b/>
          <w:bCs/>
          <w:caps w:val="0"/>
          <w:sz w:val="24"/>
          <w:szCs w:val="24"/>
          <w:lang w:eastAsia="hr-HR"/>
        </w:rPr>
        <w:t>5.4. VIŠEGODIŠNJI FINANCIJSKI OKVIR 2021.-2027.</w:t>
      </w:r>
      <w:bookmarkEnd w:id="32"/>
      <w:r w:rsidRPr="00C0186C">
        <w:rPr>
          <w:rFonts w:ascii="Times New Roman" w:eastAsiaTheme="majorEastAsia" w:hAnsi="Times New Roman" w:cs="Times New Roman"/>
          <w:b/>
          <w:bCs/>
          <w:caps w:val="0"/>
          <w:sz w:val="24"/>
          <w:szCs w:val="24"/>
          <w:lang w:eastAsia="hr-HR"/>
        </w:rPr>
        <w:t xml:space="preserve"> </w:t>
      </w:r>
    </w:p>
    <w:p w14:paraId="4DF47203" w14:textId="77777777" w:rsidR="00887B69" w:rsidRPr="00C0186C" w:rsidRDefault="00887B69" w:rsidP="00B70EE8">
      <w:pPr>
        <w:spacing w:before="0"/>
        <w:rPr>
          <w:rFonts w:ascii="Times New Roman" w:hAnsi="Times New Roman" w:cs="Times New Roman"/>
          <w:lang w:eastAsia="hr-HR"/>
        </w:rPr>
      </w:pPr>
    </w:p>
    <w:p w14:paraId="35C6C757" w14:textId="46A67CE1" w:rsidR="00887B69" w:rsidRPr="00C0186C" w:rsidRDefault="001F38AC" w:rsidP="00B70EE8">
      <w:pPr>
        <w:spacing w:before="0"/>
        <w:jc w:val="both"/>
        <w:rPr>
          <w:rFonts w:ascii="Times New Roman" w:eastAsia="Calibri" w:hAnsi="Times New Roman" w:cs="Times New Roman"/>
          <w:sz w:val="24"/>
          <w:szCs w:val="24"/>
          <w:lang w:eastAsia="hr-HR"/>
        </w:rPr>
      </w:pPr>
      <w:r>
        <w:rPr>
          <w:noProof/>
        </w:rPr>
        <mc:AlternateContent>
          <mc:Choice Requires="wps">
            <w:drawing>
              <wp:anchor distT="0" distB="0" distL="114300" distR="114300" simplePos="0" relativeHeight="251669504" behindDoc="0" locked="0" layoutInCell="1" allowOverlap="1" wp14:anchorId="1977BDF5" wp14:editId="6AFEA901">
                <wp:simplePos x="0" y="0"/>
                <wp:positionH relativeFrom="column">
                  <wp:posOffset>2329180</wp:posOffset>
                </wp:positionH>
                <wp:positionV relativeFrom="paragraph">
                  <wp:posOffset>313690</wp:posOffset>
                </wp:positionV>
                <wp:extent cx="1514475" cy="1181100"/>
                <wp:effectExtent l="0" t="0" r="9525" b="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1181100"/>
                        </a:xfrm>
                        <a:prstGeom prst="ellipse">
                          <a:avLst/>
                        </a:prstGeom>
                        <a:solidFill>
                          <a:srgbClr val="4472C4">
                            <a:lumMod val="60000"/>
                            <a:lumOff val="40000"/>
                          </a:srgbClr>
                        </a:solidFill>
                        <a:ln w="19050" cap="flat" cmpd="sng" algn="ctr">
                          <a:solidFill>
                            <a:srgbClr val="5B9BD5">
                              <a:shade val="50000"/>
                            </a:srgbClr>
                          </a:solidFill>
                          <a:prstDash val="solid"/>
                          <a:miter lim="800000"/>
                        </a:ln>
                        <a:effectLst/>
                      </wps:spPr>
                      <wps:txbx>
                        <w:txbxContent>
                          <w:p w14:paraId="7AE20E2F" w14:textId="77777777" w:rsidR="00887B69" w:rsidRPr="00D96F67" w:rsidRDefault="00887B69" w:rsidP="00887B69">
                            <w:pPr>
                              <w:jc w:val="center"/>
                              <w:rPr>
                                <w:rFonts w:asciiTheme="majorBidi" w:hAnsiTheme="majorBidi" w:cstheme="majorBidi"/>
                                <w:b/>
                                <w:bCs/>
                                <w:sz w:val="24"/>
                                <w:szCs w:val="24"/>
                              </w:rPr>
                            </w:pPr>
                            <w:r w:rsidRPr="00D96F67">
                              <w:rPr>
                                <w:rFonts w:asciiTheme="majorBidi" w:hAnsiTheme="majorBidi" w:cstheme="majorBidi"/>
                                <w:b/>
                                <w:bCs/>
                                <w:sz w:val="24"/>
                                <w:szCs w:val="24"/>
                              </w:rPr>
                              <w:t>Višegodišnji financijski okvir (VFO)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77BDF5" id="Oval 46" o:spid="_x0000_s1026" style="position:absolute;left:0;text-align:left;margin-left:183.4pt;margin-top:24.7pt;width:119.25pt;height: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" fillcolor="#8faadc" strokecolor="#41719c" strokeweight="1.5pt">
                <v:stroke joinstyle="miter"/>
                <v:path arrowok="t"/>
                <v:textbox>
                  <w:txbxContent>
                    <w:p w14:paraId="7AE20E2F" w14:textId="77777777" w:rsidR="00887B69" w:rsidRPr="00D96F67" w:rsidRDefault="00887B69" w:rsidP="00887B69">
                      <w:pPr>
                        <w:jc w:val="center"/>
                        <w:rPr>
                          <w:rFonts w:asciiTheme="majorBidi" w:hAnsiTheme="majorBidi" w:cstheme="majorBidi"/>
                          <w:b/>
                          <w:bCs/>
                          <w:sz w:val="24"/>
                          <w:szCs w:val="24"/>
                        </w:rPr>
                      </w:pPr>
                      <w:r w:rsidRPr="00D96F67">
                        <w:rPr>
                          <w:rFonts w:asciiTheme="majorBidi" w:hAnsiTheme="majorBidi" w:cstheme="majorBidi"/>
                          <w:b/>
                          <w:bCs/>
                          <w:sz w:val="24"/>
                          <w:szCs w:val="24"/>
                        </w:rPr>
                        <w:t>Višegodišnji financijski okvir (VFO)</w:t>
                      </w:r>
                    </w:p>
                  </w:txbxContent>
                </v:textbox>
              </v:oval>
            </w:pict>
          </mc:Fallback>
        </mc:AlternateContent>
      </w:r>
      <w:r>
        <w:rPr>
          <w:noProof/>
        </w:rPr>
        <mc:AlternateContent>
          <mc:Choice Requires="wps">
            <w:drawing>
              <wp:anchor distT="0" distB="0" distL="114300" distR="114300" simplePos="0" relativeHeight="251673600" behindDoc="0" locked="0" layoutInCell="1" allowOverlap="1" wp14:anchorId="7221AAB3" wp14:editId="3E5BDF63">
                <wp:simplePos x="0" y="0"/>
                <wp:positionH relativeFrom="column">
                  <wp:posOffset>4567555</wp:posOffset>
                </wp:positionH>
                <wp:positionV relativeFrom="paragraph">
                  <wp:posOffset>160655</wp:posOffset>
                </wp:positionV>
                <wp:extent cx="1543050" cy="704850"/>
                <wp:effectExtent l="0" t="0" r="0" b="0"/>
                <wp:wrapNone/>
                <wp:docPr id="54" name="Rectangle: Rounded Corners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7048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C41D910" w14:textId="77777777" w:rsidR="00887B69" w:rsidRPr="00E32A7A" w:rsidRDefault="00887B69" w:rsidP="00887B69">
                            <w:pPr>
                              <w:jc w:val="center"/>
                              <w:rPr>
                                <w:rFonts w:asciiTheme="majorBidi" w:hAnsiTheme="majorBidi" w:cstheme="majorBidi"/>
                                <w:color w:val="FFFFFF" w:themeColor="background1"/>
                              </w:rPr>
                            </w:pPr>
                            <w:r w:rsidRPr="00E32A7A">
                              <w:rPr>
                                <w:rFonts w:asciiTheme="majorBidi" w:hAnsiTheme="majorBidi" w:cstheme="majorBidi"/>
                                <w:color w:val="FFFFFF" w:themeColor="background1"/>
                              </w:rPr>
                              <w:t xml:space="preserve">Integrirani teritorijalni program </w:t>
                            </w:r>
                          </w:p>
                          <w:p w14:paraId="45310032" w14:textId="77777777" w:rsidR="00887B69" w:rsidRDefault="00887B69" w:rsidP="00887B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1AAB3" id="Rectangle: Rounded Corners 54" o:spid="_x0000_s1027" style="position:absolute;left:0;text-align:left;margin-left:359.65pt;margin-top:12.65pt;width:121.5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" fillcolor="#5b9bd5" strokecolor="#41719c" strokeweight="1pt">
                <v:stroke joinstyle="miter"/>
                <v:path arrowok="t"/>
                <v:textbox>
                  <w:txbxContent>
                    <w:p w14:paraId="3C41D910" w14:textId="77777777" w:rsidR="00887B69" w:rsidRPr="00E32A7A" w:rsidRDefault="00887B69" w:rsidP="00887B69">
                      <w:pPr>
                        <w:jc w:val="center"/>
                        <w:rPr>
                          <w:rFonts w:asciiTheme="majorBidi" w:hAnsiTheme="majorBidi" w:cstheme="majorBidi"/>
                          <w:color w:val="FFFFFF" w:themeColor="background1"/>
                        </w:rPr>
                      </w:pPr>
                      <w:r w:rsidRPr="00E32A7A">
                        <w:rPr>
                          <w:rFonts w:asciiTheme="majorBidi" w:hAnsiTheme="majorBidi" w:cstheme="majorBidi"/>
                          <w:color w:val="FFFFFF" w:themeColor="background1"/>
                        </w:rPr>
                        <w:t xml:space="preserve">Integrirani teritorijalni program </w:t>
                      </w:r>
                    </w:p>
                    <w:p w14:paraId="45310032" w14:textId="77777777" w:rsidR="00887B69" w:rsidRDefault="00887B69" w:rsidP="00887B69">
                      <w:pPr>
                        <w:jc w:val="center"/>
                      </w:pPr>
                    </w:p>
                  </w:txbxContent>
                </v:textbox>
              </v:roundrect>
            </w:pict>
          </mc:Fallback>
        </mc:AlternateContent>
      </w:r>
    </w:p>
    <w:p w14:paraId="25DA1DD0" w14:textId="4FBCD886" w:rsidR="00887B69" w:rsidRPr="00C0186C" w:rsidRDefault="001F38AC" w:rsidP="00B70EE8">
      <w:pPr>
        <w:spacing w:before="0"/>
        <w:jc w:val="both"/>
        <w:rPr>
          <w:rFonts w:ascii="Times New Roman" w:eastAsia="Calibri" w:hAnsi="Times New Roman" w:cs="Times New Roman"/>
          <w:sz w:val="24"/>
          <w:szCs w:val="24"/>
          <w:lang w:eastAsia="hr-HR"/>
        </w:rPr>
      </w:pPr>
      <w:r>
        <w:rPr>
          <w:noProof/>
        </w:rPr>
        <mc:AlternateContent>
          <mc:Choice Requires="wps">
            <w:drawing>
              <wp:anchor distT="0" distB="0" distL="114300" distR="114300" simplePos="0" relativeHeight="251671552" behindDoc="0" locked="0" layoutInCell="1" allowOverlap="1" wp14:anchorId="70B4FE45" wp14:editId="2ADBDD12">
                <wp:simplePos x="0" y="0"/>
                <wp:positionH relativeFrom="column">
                  <wp:posOffset>3939540</wp:posOffset>
                </wp:positionH>
                <wp:positionV relativeFrom="paragraph">
                  <wp:posOffset>118745</wp:posOffset>
                </wp:positionV>
                <wp:extent cx="516890" cy="212090"/>
                <wp:effectExtent l="0" t="19050" r="16510" b="16510"/>
                <wp:wrapNone/>
                <wp:docPr id="49" name="Arrow: Righ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890" cy="212090"/>
                        </a:xfrm>
                        <a:prstGeom prst="rightArrow">
                          <a:avLst/>
                        </a:prstGeom>
                        <a:solidFill>
                          <a:srgbClr val="1CADE4"/>
                        </a:solidFill>
                        <a:ln w="12700" cap="flat" cmpd="sng" algn="ctr">
                          <a:solidFill>
                            <a:srgbClr val="1CADE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742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9" o:spid="_x0000_s1026" type="#_x0000_t13" style="position:absolute;margin-left:310.2pt;margin-top:9.35pt;width:40.7pt;height:1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" adj="17169" fillcolor="#1cade4" strokecolor="#117ea7" strokeweight="1pt">
                <v:path arrowok="t"/>
              </v:shape>
            </w:pict>
          </mc:Fallback>
        </mc:AlternateContent>
      </w:r>
      <w:r>
        <w:rPr>
          <w:noProof/>
        </w:rPr>
        <mc:AlternateContent>
          <mc:Choice Requires="wps">
            <w:drawing>
              <wp:anchor distT="0" distB="0" distL="114300" distR="114300" simplePos="0" relativeHeight="251675648" behindDoc="0" locked="0" layoutInCell="1" allowOverlap="1" wp14:anchorId="7E9D454D" wp14:editId="38FEF51E">
                <wp:simplePos x="0" y="0"/>
                <wp:positionH relativeFrom="margin">
                  <wp:posOffset>43180</wp:posOffset>
                </wp:positionH>
                <wp:positionV relativeFrom="paragraph">
                  <wp:posOffset>196850</wp:posOffset>
                </wp:positionV>
                <wp:extent cx="1495425" cy="676275"/>
                <wp:effectExtent l="0" t="0" r="9525" b="9525"/>
                <wp:wrapNone/>
                <wp:docPr id="56" name="Rectangle: Rounded Corners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676275"/>
                        </a:xfrm>
                        <a:prstGeom prst="roundRect">
                          <a:avLst/>
                        </a:prstGeom>
                        <a:solidFill>
                          <a:srgbClr val="1CADE4"/>
                        </a:solidFill>
                        <a:ln w="12700" cap="flat" cmpd="sng" algn="ctr">
                          <a:solidFill>
                            <a:srgbClr val="1CADE4">
                              <a:shade val="50000"/>
                            </a:srgbClr>
                          </a:solidFill>
                          <a:prstDash val="solid"/>
                          <a:miter lim="800000"/>
                        </a:ln>
                        <a:effectLst/>
                      </wps:spPr>
                      <wps:txbx>
                        <w:txbxContent>
                          <w:p w14:paraId="781F22D7" w14:textId="77777777" w:rsidR="00887B69" w:rsidRPr="00D96F67" w:rsidRDefault="00887B69" w:rsidP="00887B69">
                            <w:pPr>
                              <w:jc w:val="center"/>
                              <w:rPr>
                                <w:rFonts w:asciiTheme="majorBidi" w:hAnsiTheme="majorBidi" w:cstheme="majorBidi"/>
                                <w:color w:val="FFFFFF" w:themeColor="background1"/>
                              </w:rPr>
                            </w:pPr>
                            <w:r w:rsidRPr="00D96F67">
                              <w:rPr>
                                <w:rFonts w:asciiTheme="majorBidi" w:hAnsiTheme="majorBidi" w:cstheme="majorBidi"/>
                                <w:color w:val="FFFFFF" w:themeColor="background1"/>
                              </w:rPr>
                              <w:t xml:space="preserve">Program Konkurentnost i kohezija  </w:t>
                            </w:r>
                          </w:p>
                          <w:p w14:paraId="5D889381" w14:textId="77777777" w:rsidR="00887B69" w:rsidRDefault="00887B69" w:rsidP="00887B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9D454D" id="Rectangle: Rounded Corners 56" o:spid="_x0000_s1028" style="position:absolute;left:0;text-align:left;margin-left:3.4pt;margin-top:15.5pt;width:117.75pt;height:5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" fillcolor="#1cade4" strokecolor="#117ea7" strokeweight="1pt">
                <v:stroke joinstyle="miter"/>
                <v:path arrowok="t"/>
                <v:textbox>
                  <w:txbxContent>
                    <w:p w14:paraId="781F22D7" w14:textId="77777777" w:rsidR="00887B69" w:rsidRPr="00D96F67" w:rsidRDefault="00887B69" w:rsidP="00887B69">
                      <w:pPr>
                        <w:jc w:val="center"/>
                        <w:rPr>
                          <w:rFonts w:asciiTheme="majorBidi" w:hAnsiTheme="majorBidi" w:cstheme="majorBidi"/>
                          <w:color w:val="FFFFFF" w:themeColor="background1"/>
                        </w:rPr>
                      </w:pPr>
                      <w:r w:rsidRPr="00D96F67">
                        <w:rPr>
                          <w:rFonts w:asciiTheme="majorBidi" w:hAnsiTheme="majorBidi" w:cstheme="majorBidi"/>
                          <w:color w:val="FFFFFF" w:themeColor="background1"/>
                        </w:rPr>
                        <w:t xml:space="preserve">Program Konkurentnost i kohezija  </w:t>
                      </w:r>
                    </w:p>
                    <w:p w14:paraId="5D889381" w14:textId="77777777" w:rsidR="00887B69" w:rsidRDefault="00887B69" w:rsidP="00887B69">
                      <w:pPr>
                        <w:jc w:val="center"/>
                      </w:pPr>
                    </w:p>
                  </w:txbxContent>
                </v:textbox>
                <w10:wrap anchorx="margin"/>
              </v:roundrect>
            </w:pict>
          </mc:Fallback>
        </mc:AlternateContent>
      </w:r>
    </w:p>
    <w:p w14:paraId="3BB679CC" w14:textId="5B8837B7" w:rsidR="00887B69" w:rsidRPr="00C0186C" w:rsidRDefault="001F38AC" w:rsidP="00B70EE8">
      <w:pPr>
        <w:spacing w:before="0"/>
        <w:jc w:val="both"/>
        <w:rPr>
          <w:rFonts w:ascii="Times New Roman" w:eastAsia="Calibri" w:hAnsi="Times New Roman" w:cs="Times New Roman"/>
          <w:sz w:val="24"/>
          <w:szCs w:val="24"/>
          <w:lang w:eastAsia="hr-HR"/>
        </w:rPr>
      </w:pPr>
      <w:r>
        <w:rPr>
          <w:noProof/>
        </w:rPr>
        <mc:AlternateContent>
          <mc:Choice Requires="wps">
            <w:drawing>
              <wp:anchor distT="0" distB="0" distL="114300" distR="114300" simplePos="0" relativeHeight="251670528" behindDoc="0" locked="0" layoutInCell="1" allowOverlap="1" wp14:anchorId="45D4B0AD" wp14:editId="3D21FA32">
                <wp:simplePos x="0" y="0"/>
                <wp:positionH relativeFrom="column">
                  <wp:posOffset>3941445</wp:posOffset>
                </wp:positionH>
                <wp:positionV relativeFrom="paragraph">
                  <wp:posOffset>365760</wp:posOffset>
                </wp:positionV>
                <wp:extent cx="537845" cy="205740"/>
                <wp:effectExtent l="0" t="19050" r="14605" b="22860"/>
                <wp:wrapNone/>
                <wp:docPr id="47" name="Arrow: Right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 cy="20574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56202" id="Arrow: Right 47" o:spid="_x0000_s1026" type="#_x0000_t13" style="position:absolute;margin-left:310.35pt;margin-top:28.8pt;width:42.35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" adj="17469" fillcolor="#5b9bd5" strokecolor="#41719c" strokeweight="1pt">
                <v:path arrowok="t"/>
              </v:shape>
            </w:pict>
          </mc:Fallback>
        </mc:AlternateContent>
      </w:r>
      <w:r>
        <w:rPr>
          <w:noProof/>
        </w:rPr>
        <mc:AlternateContent>
          <mc:Choice Requires="wps">
            <w:drawing>
              <wp:anchor distT="0" distB="0" distL="114300" distR="114300" simplePos="0" relativeHeight="251672576" behindDoc="0" locked="0" layoutInCell="1" allowOverlap="1" wp14:anchorId="4F757869" wp14:editId="500BDAB5">
                <wp:simplePos x="0" y="0"/>
                <wp:positionH relativeFrom="column">
                  <wp:posOffset>1671955</wp:posOffset>
                </wp:positionH>
                <wp:positionV relativeFrom="paragraph">
                  <wp:posOffset>60325</wp:posOffset>
                </wp:positionV>
                <wp:extent cx="466725" cy="200660"/>
                <wp:effectExtent l="19050" t="19050" r="9525" b="27940"/>
                <wp:wrapNone/>
                <wp:docPr id="52" name="Arrow: Righ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66725" cy="200660"/>
                        </a:xfrm>
                        <a:prstGeom prst="rightArrow">
                          <a:avLst/>
                        </a:prstGeom>
                        <a:solidFill>
                          <a:srgbClr val="1CADE4"/>
                        </a:solidFill>
                        <a:ln w="12700" cap="flat" cmpd="sng" algn="ctr">
                          <a:solidFill>
                            <a:srgbClr val="1CADE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B943" id="Arrow: Right 52" o:spid="_x0000_s1026" type="#_x0000_t13" style="position:absolute;margin-left:131.65pt;margin-top:4.75pt;width:36.75pt;height:15.8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" adj="16957" fillcolor="#1cade4" strokecolor="#117ea7" strokeweight="1pt">
                <v:path arrowok="t"/>
              </v:shape>
            </w:pict>
          </mc:Fallback>
        </mc:AlternateContent>
      </w:r>
      <w:r>
        <w:rPr>
          <w:noProof/>
        </w:rPr>
        <mc:AlternateContent>
          <mc:Choice Requires="wps">
            <w:drawing>
              <wp:anchor distT="0" distB="0" distL="114300" distR="114300" simplePos="0" relativeHeight="251674624" behindDoc="0" locked="0" layoutInCell="1" allowOverlap="1" wp14:anchorId="0DC467D7" wp14:editId="330FA53F">
                <wp:simplePos x="0" y="0"/>
                <wp:positionH relativeFrom="column">
                  <wp:posOffset>4586605</wp:posOffset>
                </wp:positionH>
                <wp:positionV relativeFrom="paragraph">
                  <wp:posOffset>222885</wp:posOffset>
                </wp:positionV>
                <wp:extent cx="1543050" cy="685800"/>
                <wp:effectExtent l="0" t="0" r="0" b="0"/>
                <wp:wrapNone/>
                <wp:docPr id="55" name="Rectangle: Rounded Corners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685800"/>
                        </a:xfrm>
                        <a:prstGeom prst="roundRect">
                          <a:avLst/>
                        </a:prstGeom>
                        <a:solidFill>
                          <a:srgbClr val="1CADE4"/>
                        </a:solidFill>
                        <a:ln w="12700" cap="flat" cmpd="sng" algn="ctr">
                          <a:solidFill>
                            <a:srgbClr val="1CADE4">
                              <a:shade val="50000"/>
                            </a:srgbClr>
                          </a:solidFill>
                          <a:prstDash val="solid"/>
                          <a:miter lim="800000"/>
                        </a:ln>
                        <a:effectLst/>
                      </wps:spPr>
                      <wps:txbx>
                        <w:txbxContent>
                          <w:p w14:paraId="326E3E06" w14:textId="77777777" w:rsidR="00887B69" w:rsidRPr="00D96F67" w:rsidRDefault="00887B69" w:rsidP="00887B69">
                            <w:pPr>
                              <w:jc w:val="center"/>
                              <w:rPr>
                                <w:rFonts w:asciiTheme="majorBidi" w:hAnsiTheme="majorBidi" w:cstheme="majorBidi"/>
                              </w:rPr>
                            </w:pPr>
                            <w:r w:rsidRPr="00D96F67">
                              <w:rPr>
                                <w:rFonts w:asciiTheme="majorBidi" w:hAnsiTheme="majorBidi" w:cstheme="majorBidi"/>
                                <w:color w:val="FFFFFF" w:themeColor="background1"/>
                              </w:rPr>
                              <w:t>Program Učinkoviti ljudski potencijali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467D7" id="Rectangle: Rounded Corners 55" o:spid="_x0000_s1029" style="position:absolute;left:0;text-align:left;margin-left:361.15pt;margin-top:17.55pt;width:121.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" fillcolor="#1cade4" strokecolor="#117ea7" strokeweight="1pt">
                <v:stroke joinstyle="miter"/>
                <v:path arrowok="t"/>
                <v:textbox>
                  <w:txbxContent>
                    <w:p w14:paraId="326E3E06" w14:textId="77777777" w:rsidR="00887B69" w:rsidRPr="00D96F67" w:rsidRDefault="00887B69" w:rsidP="00887B69">
                      <w:pPr>
                        <w:jc w:val="center"/>
                        <w:rPr>
                          <w:rFonts w:asciiTheme="majorBidi" w:hAnsiTheme="majorBidi" w:cstheme="majorBidi"/>
                        </w:rPr>
                      </w:pPr>
                      <w:r w:rsidRPr="00D96F67">
                        <w:rPr>
                          <w:rFonts w:asciiTheme="majorBidi" w:hAnsiTheme="majorBidi" w:cstheme="majorBidi"/>
                          <w:color w:val="FFFFFF" w:themeColor="background1"/>
                        </w:rPr>
                        <w:t>Program Učinkoviti ljudski potencijali</w:t>
                      </w:r>
                    </w:p>
                  </w:txbxContent>
                </v:textbox>
              </v:roundrect>
            </w:pict>
          </mc:Fallback>
        </mc:AlternateContent>
      </w:r>
    </w:p>
    <w:p w14:paraId="626B5AA7" w14:textId="77777777" w:rsidR="00887B69" w:rsidRPr="00C0186C" w:rsidRDefault="00887B69" w:rsidP="00B70EE8">
      <w:pPr>
        <w:spacing w:before="0"/>
        <w:jc w:val="both"/>
        <w:rPr>
          <w:rFonts w:ascii="Times New Roman" w:eastAsia="Calibri" w:hAnsi="Times New Roman" w:cs="Times New Roman"/>
          <w:sz w:val="24"/>
          <w:szCs w:val="24"/>
          <w:lang w:eastAsia="hr-HR"/>
        </w:rPr>
      </w:pPr>
    </w:p>
    <w:p w14:paraId="4B81A6D0" w14:textId="77777777" w:rsidR="00887B69" w:rsidRPr="00C0186C" w:rsidRDefault="00887B69" w:rsidP="00B70EE8">
      <w:pPr>
        <w:spacing w:before="0"/>
        <w:jc w:val="both"/>
        <w:rPr>
          <w:rFonts w:ascii="Times New Roman" w:eastAsia="Calibri" w:hAnsi="Times New Roman" w:cs="Times New Roman"/>
          <w:sz w:val="24"/>
          <w:szCs w:val="24"/>
          <w:lang w:eastAsia="hr-HR"/>
        </w:rPr>
      </w:pPr>
    </w:p>
    <w:p w14:paraId="47E953DA" w14:textId="77777777" w:rsidR="00887B69" w:rsidRPr="00C0186C" w:rsidRDefault="00887B69" w:rsidP="00B70EE8">
      <w:pPr>
        <w:spacing w:before="0"/>
        <w:jc w:val="both"/>
        <w:rPr>
          <w:rFonts w:ascii="Times New Roman" w:hAnsi="Times New Roman" w:cs="Times New Roman"/>
          <w:sz w:val="24"/>
          <w:szCs w:val="24"/>
          <w:lang w:eastAsia="hr-HR"/>
        </w:rPr>
      </w:pPr>
    </w:p>
    <w:p w14:paraId="5D42A750" w14:textId="77777777" w:rsidR="00887B69" w:rsidRPr="00C0186C" w:rsidRDefault="00887B69" w:rsidP="00B70EE8">
      <w:pPr>
        <w:spacing w:before="0"/>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Za novo razdoblje Vlada </w:t>
      </w:r>
      <w:r w:rsidRPr="00C0186C">
        <w:rPr>
          <w:rFonts w:ascii="Times New Roman" w:eastAsia="Calibri" w:hAnsi="Times New Roman" w:cs="Times New Roman"/>
          <w:sz w:val="24"/>
          <w:szCs w:val="24"/>
        </w:rPr>
        <w:t>Republike Hrvatske</w:t>
      </w:r>
      <w:r w:rsidRPr="00C0186C">
        <w:rPr>
          <w:rFonts w:ascii="Times New Roman" w:hAnsi="Times New Roman" w:cs="Times New Roman"/>
          <w:sz w:val="24"/>
          <w:szCs w:val="24"/>
          <w:lang w:eastAsia="hr-HR"/>
        </w:rPr>
        <w:t xml:space="preserve"> na sjednici 5. studenog 2020. donijela je Odluku o operativnim programima vezanim za Kohezijsku politiku za financijsko razdoblje Europske unije 2021. - 2027. u Republici Hrvatskoj kako slijedi: </w:t>
      </w:r>
    </w:p>
    <w:p w14:paraId="61198F16" w14:textId="77777777" w:rsidR="00887B69" w:rsidRPr="00C0186C" w:rsidRDefault="00887B69" w:rsidP="00B70EE8">
      <w:pPr>
        <w:spacing w:before="0"/>
        <w:ind w:left="709"/>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1.</w:t>
      </w:r>
      <w:r w:rsidRPr="00C0186C">
        <w:rPr>
          <w:rFonts w:ascii="Times New Roman" w:hAnsi="Times New Roman" w:cs="Times New Roman"/>
          <w:sz w:val="24"/>
          <w:szCs w:val="24"/>
          <w:lang w:eastAsia="hr-HR"/>
        </w:rPr>
        <w:tab/>
        <w:t xml:space="preserve">Program Konkurentnost i kohezija 2021.- 2027. </w:t>
      </w:r>
    </w:p>
    <w:p w14:paraId="2C9335D4" w14:textId="77777777" w:rsidR="00887B69" w:rsidRPr="00C0186C" w:rsidRDefault="00887B69" w:rsidP="00B70EE8">
      <w:pPr>
        <w:spacing w:before="0"/>
        <w:ind w:left="709"/>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2.</w:t>
      </w:r>
      <w:r w:rsidRPr="00C0186C">
        <w:rPr>
          <w:rFonts w:ascii="Times New Roman" w:hAnsi="Times New Roman" w:cs="Times New Roman"/>
          <w:sz w:val="24"/>
          <w:szCs w:val="24"/>
          <w:lang w:eastAsia="hr-HR"/>
        </w:rPr>
        <w:tab/>
        <w:t xml:space="preserve">Program Učinkoviti ljudski potencijali 2021.– 2027. </w:t>
      </w:r>
    </w:p>
    <w:p w14:paraId="2684E301" w14:textId="77777777" w:rsidR="00887B69" w:rsidRPr="00C0186C" w:rsidRDefault="00887B69" w:rsidP="00B70EE8">
      <w:pPr>
        <w:spacing w:before="0"/>
        <w:ind w:left="709"/>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3.</w:t>
      </w:r>
      <w:r w:rsidRPr="00C0186C">
        <w:rPr>
          <w:rFonts w:ascii="Times New Roman" w:hAnsi="Times New Roman" w:cs="Times New Roman"/>
          <w:sz w:val="24"/>
          <w:szCs w:val="24"/>
          <w:lang w:eastAsia="hr-HR"/>
        </w:rPr>
        <w:tab/>
        <w:t>Integrirani teritorijalni program 2021. – 2027.</w:t>
      </w:r>
    </w:p>
    <w:p w14:paraId="530560CC" w14:textId="5C2CC36E" w:rsidR="00887B69" w:rsidRPr="00C0186C" w:rsidRDefault="00887B69" w:rsidP="006829FA">
      <w:pPr>
        <w:spacing w:before="0" w:after="0"/>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Nacrti Sporazuma o partnerstvu 2021. – 2027., Programa Konkurentnost i kohezija 2021.-2027. te Integriranog teritorijalnog programa 2021. – 2027. poslani su u Europsku komisiju 30. lipnja 2021., dok je prvi nacrt Programa Učinkoviti ljudski potencijali upućen u Europsku komisiju krajem srpnja 2021. Uzimajući u obzir da tek predstoji pregovarački proces s Europskom komisijom vezano uz sadržaj programskih dokumenata navedene informacije tek predstavljaju okvir unutar kojeg se mogu, uz određene prilagodbe, očekivati ulaganja iz  Europskog fonda za regionalni razvoj, Kohezijskog fonda, Fonda pravedne tranzicije i Europskog socijalnog fonda plus.</w:t>
      </w:r>
    </w:p>
    <w:p w14:paraId="5CE6BE3B" w14:textId="77777777" w:rsidR="006829FA" w:rsidRPr="00C0186C" w:rsidRDefault="006829FA" w:rsidP="006829FA">
      <w:pPr>
        <w:spacing w:before="0" w:after="0"/>
        <w:jc w:val="both"/>
        <w:rPr>
          <w:rFonts w:ascii="Times New Roman" w:hAnsi="Times New Roman" w:cs="Times New Roman"/>
          <w:sz w:val="24"/>
          <w:szCs w:val="24"/>
          <w:lang w:eastAsia="hr-HR"/>
        </w:rPr>
      </w:pPr>
    </w:p>
    <w:p w14:paraId="09A23695" w14:textId="53A3AD8E" w:rsidR="00887B69" w:rsidRPr="00C0186C" w:rsidRDefault="002B4599" w:rsidP="00B70EE8">
      <w:pPr>
        <w:pStyle w:val="Heading2"/>
        <w:spacing w:before="0"/>
        <w:rPr>
          <w:rFonts w:ascii="Times New Roman" w:hAnsi="Times New Roman" w:cs="Times New Roman"/>
          <w:b/>
          <w:bCs/>
          <w:sz w:val="24"/>
          <w:szCs w:val="24"/>
          <w:lang w:eastAsia="hr-HR"/>
        </w:rPr>
      </w:pPr>
      <w:bookmarkStart w:id="33" w:name="_Toc95891867"/>
      <w:r w:rsidRPr="00DF5007">
        <w:rPr>
          <w:rFonts w:ascii="Times New Roman" w:hAnsi="Times New Roman" w:cs="Times New Roman"/>
          <w:b/>
          <w:bCs/>
          <w:caps w:val="0"/>
          <w:sz w:val="24"/>
          <w:szCs w:val="24"/>
          <w:lang w:eastAsia="hr-HR"/>
        </w:rPr>
        <w:t>5.5. PROGRAM KONKURENTNOST I KOHEZIJA 2021. – 2027.</w:t>
      </w:r>
      <w:bookmarkEnd w:id="33"/>
    </w:p>
    <w:p w14:paraId="2F1496EC" w14:textId="77777777" w:rsidR="00887B69" w:rsidRPr="00C0186C" w:rsidRDefault="00887B69" w:rsidP="006829FA">
      <w:pPr>
        <w:spacing w:before="0" w:after="0"/>
        <w:rPr>
          <w:rFonts w:ascii="Times New Roman" w:hAnsi="Times New Roman" w:cs="Times New Roman"/>
          <w:sz w:val="24"/>
          <w:szCs w:val="24"/>
          <w:highlight w:val="yellow"/>
          <w:lang w:eastAsia="hr-HR"/>
        </w:rPr>
      </w:pPr>
    </w:p>
    <w:p w14:paraId="43EE9654" w14:textId="6C443DF3" w:rsidR="00887B69" w:rsidRDefault="00887B69" w:rsidP="006829FA">
      <w:pPr>
        <w:spacing w:before="0" w:after="0"/>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Predviđeni Prioriteti u Programu Konkurentnost i kohezija 2021. – 2027. nose ukupnu vrijednost od oko 36 milijardi kuna za razdoblje do kraja 2029. godine. Obuhvaćeni su uglavnom  svi posebni ciljevi u okviru ciljeva politike 1-4 za Europski fond za regionalni razvoj i Kohezijski fond. </w:t>
      </w:r>
    </w:p>
    <w:p w14:paraId="110989E4" w14:textId="77777777" w:rsidR="006829FA" w:rsidRPr="00C0186C" w:rsidRDefault="006829FA" w:rsidP="006829FA">
      <w:pPr>
        <w:spacing w:before="0" w:after="0"/>
        <w:jc w:val="both"/>
        <w:rPr>
          <w:rFonts w:ascii="Times New Roman" w:hAnsi="Times New Roman" w:cs="Times New Roman"/>
          <w:sz w:val="24"/>
          <w:szCs w:val="24"/>
          <w:lang w:eastAsia="hr-HR"/>
        </w:rPr>
      </w:pPr>
    </w:p>
    <w:p w14:paraId="3309F001" w14:textId="77777777" w:rsidR="00887B69" w:rsidRPr="00C0186C" w:rsidRDefault="00887B69" w:rsidP="00B70EE8">
      <w:pPr>
        <w:spacing w:before="0"/>
        <w:rPr>
          <w:rFonts w:ascii="Times New Roman" w:hAnsi="Times New Roman" w:cs="Times New Roman"/>
          <w:sz w:val="24"/>
          <w:szCs w:val="24"/>
          <w:lang w:eastAsia="hr-HR"/>
        </w:rPr>
      </w:pPr>
      <w:r w:rsidRPr="00C0186C">
        <w:rPr>
          <w:rFonts w:ascii="Times New Roman" w:hAnsi="Times New Roman" w:cs="Times New Roman"/>
          <w:sz w:val="24"/>
          <w:szCs w:val="24"/>
          <w:lang w:eastAsia="hr-HR"/>
        </w:rPr>
        <w:t>Prioriteti ulaganja u okviru Programa Konkurentnost i kohezija 2021.- 2027.:</w:t>
      </w:r>
    </w:p>
    <w:p w14:paraId="268C685A" w14:textId="460F5144" w:rsidR="006829FA" w:rsidRPr="006829FA"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Jačanje gospodarstva ulaganjem u istraživanje i inovacije, podupiranjem poslovne konkurentnosti, digitalizacije i razvoja vještina za pametnu specijalizaciju</w:t>
      </w:r>
    </w:p>
    <w:p w14:paraId="548BFAEB"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Jačanje digitalne </w:t>
      </w:r>
      <w:proofErr w:type="spellStart"/>
      <w:r w:rsidRPr="00C0186C">
        <w:rPr>
          <w:rFonts w:ascii="Times New Roman" w:hAnsi="Times New Roman" w:cs="Times New Roman"/>
          <w:sz w:val="24"/>
          <w:szCs w:val="24"/>
          <w:lang w:eastAsia="hr-HR"/>
        </w:rPr>
        <w:t>povezivosti</w:t>
      </w:r>
      <w:proofErr w:type="spellEnd"/>
    </w:p>
    <w:p w14:paraId="1925DFD7"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Promicanje energetske učinkovitosti i obnovljivih izvora energije, prilagodbe na klimatske promjene, sprječavanje rizika, zaštita okoliša i održivosti resursa</w:t>
      </w:r>
    </w:p>
    <w:p w14:paraId="5D09061B"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Razvoj održive </w:t>
      </w:r>
      <w:proofErr w:type="spellStart"/>
      <w:r w:rsidRPr="00C0186C">
        <w:rPr>
          <w:rFonts w:ascii="Times New Roman" w:hAnsi="Times New Roman" w:cs="Times New Roman"/>
          <w:sz w:val="24"/>
          <w:szCs w:val="24"/>
          <w:lang w:eastAsia="hr-HR"/>
        </w:rPr>
        <w:t>intermodalne</w:t>
      </w:r>
      <w:proofErr w:type="spellEnd"/>
      <w:r w:rsidRPr="00C0186C">
        <w:rPr>
          <w:rFonts w:ascii="Times New Roman" w:hAnsi="Times New Roman" w:cs="Times New Roman"/>
          <w:sz w:val="24"/>
          <w:szCs w:val="24"/>
          <w:lang w:eastAsia="hr-HR"/>
        </w:rPr>
        <w:t xml:space="preserve"> urbane mobilnosti, kao dio prijelaza na </w:t>
      </w:r>
      <w:proofErr w:type="spellStart"/>
      <w:r w:rsidRPr="00C0186C">
        <w:rPr>
          <w:rFonts w:ascii="Times New Roman" w:hAnsi="Times New Roman" w:cs="Times New Roman"/>
          <w:sz w:val="24"/>
          <w:szCs w:val="24"/>
          <w:lang w:eastAsia="hr-HR"/>
        </w:rPr>
        <w:t>niskougljično</w:t>
      </w:r>
      <w:proofErr w:type="spellEnd"/>
      <w:r w:rsidRPr="00C0186C">
        <w:rPr>
          <w:rFonts w:ascii="Times New Roman" w:hAnsi="Times New Roman" w:cs="Times New Roman"/>
          <w:sz w:val="24"/>
          <w:szCs w:val="24"/>
          <w:lang w:eastAsia="hr-HR"/>
        </w:rPr>
        <w:t xml:space="preserve"> gospodarstvo</w:t>
      </w:r>
    </w:p>
    <w:p w14:paraId="3E3C3331"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Razvoj održive, pametne i sigurne mobilnosti</w:t>
      </w:r>
    </w:p>
    <w:p w14:paraId="2684C288"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Jačanje zdravstvenog sustava; promicanje socijalnog uključivanja, obrazovanja i cjeloživotnog učenja</w:t>
      </w:r>
    </w:p>
    <w:p w14:paraId="4E27AC2E" w14:textId="77777777" w:rsidR="00887B69" w:rsidRPr="00C0186C" w:rsidRDefault="00887B69" w:rsidP="00B70EE8">
      <w:pPr>
        <w:spacing w:before="0" w:after="0"/>
        <w:ind w:left="720"/>
        <w:contextualSpacing/>
        <w:jc w:val="both"/>
        <w:rPr>
          <w:rFonts w:ascii="Times New Roman" w:eastAsia="Times New Roman" w:hAnsi="Times New Roman" w:cs="Times New Roman"/>
          <w:sz w:val="24"/>
          <w:szCs w:val="24"/>
          <w:lang w:eastAsia="hr-HR"/>
        </w:rPr>
      </w:pPr>
    </w:p>
    <w:p w14:paraId="63053335" w14:textId="77777777" w:rsidR="00887B69" w:rsidRPr="00C0186C" w:rsidRDefault="00887B69" w:rsidP="00B70EE8">
      <w:pPr>
        <w:spacing w:before="0"/>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Ukupna vrijednost Programa Konkurentnost i kohezija 2021. – 2027. u smislu EU doprinosa za razdoblje do kraja 2029. godine je oko 36 milijardi kuna, a sredstva će biti usmjeravana na:</w:t>
      </w:r>
    </w:p>
    <w:p w14:paraId="598A5191"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jačanje segmenta istraživanja i razvoja, </w:t>
      </w:r>
    </w:p>
    <w:p w14:paraId="2A68154C"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jačanje konkurentnosti gospodarstva, </w:t>
      </w:r>
    </w:p>
    <w:p w14:paraId="7605D47B"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daljnjeg jačanja digitalizacije u smislu </w:t>
      </w:r>
      <w:proofErr w:type="spellStart"/>
      <w:r w:rsidRPr="00C0186C">
        <w:rPr>
          <w:rFonts w:ascii="Times New Roman" w:hAnsi="Times New Roman" w:cs="Times New Roman"/>
          <w:sz w:val="24"/>
          <w:szCs w:val="24"/>
          <w:lang w:eastAsia="hr-HR"/>
        </w:rPr>
        <w:t>povezivosti</w:t>
      </w:r>
      <w:proofErr w:type="spellEnd"/>
      <w:r w:rsidRPr="00C0186C">
        <w:rPr>
          <w:rFonts w:ascii="Times New Roman" w:hAnsi="Times New Roman" w:cs="Times New Roman"/>
          <w:sz w:val="24"/>
          <w:szCs w:val="24"/>
          <w:lang w:eastAsia="hr-HR"/>
        </w:rPr>
        <w:t xml:space="preserve"> (širokopojasna infrastruktura) i e-usluga </w:t>
      </w:r>
    </w:p>
    <w:p w14:paraId="58B564A6"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daljnje jačanje kompetencija za provedbu S3.</w:t>
      </w:r>
    </w:p>
    <w:p w14:paraId="41E318C9"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ulaganja u energetsku učinkovitost (EE) i obnovljive izvore energije (OIE) mjere, te razvoj pametnih energetskih mreža i naprednih mjernih sustava</w:t>
      </w:r>
    </w:p>
    <w:p w14:paraId="403AA0C0"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vodno-komunalnu infrastrukturu, </w:t>
      </w:r>
    </w:p>
    <w:p w14:paraId="2435B567"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gospodarenje otpadom uz poštivanje načela kružnog gospodarstva, </w:t>
      </w:r>
    </w:p>
    <w:p w14:paraId="3B7CE71E"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proofErr w:type="spellStart"/>
      <w:r w:rsidRPr="00C0186C">
        <w:rPr>
          <w:rFonts w:ascii="Times New Roman" w:hAnsi="Times New Roman" w:cs="Times New Roman"/>
          <w:sz w:val="24"/>
          <w:szCs w:val="24"/>
          <w:lang w:eastAsia="hr-HR"/>
        </w:rPr>
        <w:t>bioraznolikost</w:t>
      </w:r>
      <w:proofErr w:type="spellEnd"/>
      <w:r w:rsidRPr="00C0186C">
        <w:rPr>
          <w:rFonts w:ascii="Times New Roman" w:hAnsi="Times New Roman" w:cs="Times New Roman"/>
          <w:sz w:val="24"/>
          <w:szCs w:val="24"/>
          <w:lang w:eastAsia="hr-HR"/>
        </w:rPr>
        <w:t xml:space="preserve"> i zelenu infrastrukturu</w:t>
      </w:r>
    </w:p>
    <w:p w14:paraId="41BB344D" w14:textId="2DA3892E" w:rsidR="00887B69" w:rsidRPr="00C0186C" w:rsidRDefault="00A4421B" w:rsidP="00CA63B9">
      <w:pPr>
        <w:numPr>
          <w:ilvl w:val="0"/>
          <w:numId w:val="36"/>
        </w:numPr>
        <w:spacing w:before="0" w:after="0"/>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ublaženje </w:t>
      </w:r>
      <w:r w:rsidR="00887B69" w:rsidRPr="00C0186C">
        <w:rPr>
          <w:rFonts w:ascii="Times New Roman" w:hAnsi="Times New Roman" w:cs="Times New Roman"/>
          <w:sz w:val="24"/>
          <w:szCs w:val="24"/>
          <w:lang w:eastAsia="hr-HR"/>
        </w:rPr>
        <w:t>klimatskih promjena i prilagodbu klimatskim promjenama</w:t>
      </w:r>
    </w:p>
    <w:p w14:paraId="45D255F9"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smanjenje onečišćenja od mina i neeksplodiranih ubojitih sredstva</w:t>
      </w:r>
    </w:p>
    <w:p w14:paraId="31390FCB"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jačanje održive, pametne i sigurne mobilnosti</w:t>
      </w:r>
    </w:p>
    <w:p w14:paraId="751FAC85"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razvoj otporne, pametne, sigurne, održive i </w:t>
      </w:r>
      <w:proofErr w:type="spellStart"/>
      <w:r w:rsidRPr="00C0186C">
        <w:rPr>
          <w:rFonts w:ascii="Times New Roman" w:hAnsi="Times New Roman" w:cs="Times New Roman"/>
          <w:sz w:val="24"/>
          <w:szCs w:val="24"/>
          <w:lang w:eastAsia="hr-HR"/>
        </w:rPr>
        <w:t>intermodalne</w:t>
      </w:r>
      <w:proofErr w:type="spellEnd"/>
      <w:r w:rsidRPr="00C0186C">
        <w:rPr>
          <w:rFonts w:ascii="Times New Roman" w:hAnsi="Times New Roman" w:cs="Times New Roman"/>
          <w:sz w:val="24"/>
          <w:szCs w:val="24"/>
          <w:lang w:eastAsia="hr-HR"/>
        </w:rPr>
        <w:t xml:space="preserve"> TEN-T i (ne)TEN-T mreže</w:t>
      </w:r>
    </w:p>
    <w:p w14:paraId="5B2A58FC"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jačanje zdravstvenog sustava</w:t>
      </w:r>
    </w:p>
    <w:p w14:paraId="02A4A054" w14:textId="77777777" w:rsidR="00887B69" w:rsidRPr="00C0186C" w:rsidRDefault="00887B69" w:rsidP="00CA63B9">
      <w:pPr>
        <w:numPr>
          <w:ilvl w:val="0"/>
          <w:numId w:val="36"/>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promicanje socijalnog uključivanja, obrazovanja i cjeloživotnog učenja</w:t>
      </w:r>
    </w:p>
    <w:p w14:paraId="00A775C2" w14:textId="77777777" w:rsidR="00887B69" w:rsidRPr="00C0186C" w:rsidRDefault="00887B69" w:rsidP="00CA63B9">
      <w:pPr>
        <w:numPr>
          <w:ilvl w:val="0"/>
          <w:numId w:val="36"/>
        </w:numPr>
        <w:spacing w:before="0" w:after="0"/>
        <w:contextualSpacing/>
        <w:jc w:val="both"/>
        <w:rPr>
          <w:rFonts w:ascii="Times New Roman" w:eastAsia="Times New Roman" w:hAnsi="Times New Roman" w:cs="Times New Roman"/>
          <w:sz w:val="24"/>
          <w:szCs w:val="24"/>
          <w:lang w:eastAsia="hr-HR"/>
        </w:rPr>
      </w:pPr>
      <w:r w:rsidRPr="00C0186C">
        <w:rPr>
          <w:rFonts w:ascii="Times New Roman" w:eastAsia="Times New Roman" w:hAnsi="Times New Roman" w:cs="Times New Roman"/>
          <w:sz w:val="24"/>
          <w:szCs w:val="24"/>
          <w:lang w:eastAsia="hr-HR"/>
        </w:rPr>
        <w:t>umanjenje i/ili dokidanje barijera za sudjelovanje u kulturi te izjednačavanje mogućnosti pristupa svih građana  kroz gradnju, rekonstrukciju i opremanje kulturne infrastrukture bit će usmjerena na održive projekte koji doprinose društvenom razvoju</w:t>
      </w:r>
    </w:p>
    <w:p w14:paraId="335D52A5" w14:textId="77777777" w:rsidR="00887B69" w:rsidRPr="00C0186C" w:rsidRDefault="00887B69" w:rsidP="00CA63B9">
      <w:pPr>
        <w:numPr>
          <w:ilvl w:val="0"/>
          <w:numId w:val="36"/>
        </w:numPr>
        <w:spacing w:before="0" w:after="0"/>
        <w:contextualSpacing/>
        <w:jc w:val="both"/>
        <w:rPr>
          <w:rFonts w:ascii="Times New Roman" w:eastAsia="Times New Roman" w:hAnsi="Times New Roman" w:cs="Times New Roman"/>
          <w:sz w:val="24"/>
          <w:szCs w:val="24"/>
          <w:lang w:eastAsia="hr-HR"/>
        </w:rPr>
      </w:pPr>
      <w:r w:rsidRPr="00C0186C">
        <w:rPr>
          <w:rFonts w:ascii="Times New Roman" w:eastAsia="Times New Roman" w:hAnsi="Times New Roman" w:cs="Times New Roman"/>
          <w:sz w:val="24"/>
          <w:szCs w:val="24"/>
          <w:lang w:eastAsia="hr-HR"/>
        </w:rPr>
        <w:t xml:space="preserve">osiguranje infrastrukturnih preduvjeta za razvoj novih </w:t>
      </w:r>
      <w:proofErr w:type="spellStart"/>
      <w:r w:rsidRPr="00C0186C">
        <w:rPr>
          <w:rFonts w:ascii="Times New Roman" w:eastAsia="Times New Roman" w:hAnsi="Times New Roman" w:cs="Times New Roman"/>
          <w:sz w:val="24"/>
          <w:szCs w:val="24"/>
          <w:lang w:eastAsia="hr-HR"/>
        </w:rPr>
        <w:t>diverzificiranih</w:t>
      </w:r>
      <w:proofErr w:type="spellEnd"/>
      <w:r w:rsidRPr="00C0186C">
        <w:rPr>
          <w:rFonts w:ascii="Times New Roman" w:eastAsia="Times New Roman" w:hAnsi="Times New Roman" w:cs="Times New Roman"/>
          <w:sz w:val="24"/>
          <w:szCs w:val="24"/>
          <w:lang w:eastAsia="hr-HR"/>
        </w:rPr>
        <w:t xml:space="preserve"> turističkih proizvoda i usluga koji se temelje na autentičnosti i tradicionalnim vrijednostima lokalnih zajednica</w:t>
      </w:r>
    </w:p>
    <w:p w14:paraId="1C09C1F1" w14:textId="77777777" w:rsidR="00887B69" w:rsidRPr="00C0186C" w:rsidRDefault="00887B69" w:rsidP="00A867B3">
      <w:pPr>
        <w:spacing w:before="0" w:after="0"/>
        <w:contextualSpacing/>
        <w:jc w:val="both"/>
        <w:rPr>
          <w:rFonts w:ascii="Times New Roman" w:eastAsia="Calibri" w:hAnsi="Times New Roman" w:cs="Times New Roman"/>
          <w:sz w:val="24"/>
          <w:szCs w:val="24"/>
        </w:rPr>
      </w:pPr>
    </w:p>
    <w:p w14:paraId="1A542DF8" w14:textId="322BAC5F" w:rsidR="00887B69" w:rsidRPr="00C0186C" w:rsidRDefault="002B4599" w:rsidP="00CA63B9">
      <w:pPr>
        <w:pStyle w:val="Heading2"/>
        <w:numPr>
          <w:ilvl w:val="1"/>
          <w:numId w:val="43"/>
        </w:numPr>
        <w:spacing w:before="0"/>
        <w:ind w:left="567" w:hanging="567"/>
        <w:rPr>
          <w:rFonts w:ascii="Times New Roman" w:hAnsi="Times New Roman" w:cs="Times New Roman"/>
          <w:b/>
          <w:bCs/>
          <w:sz w:val="24"/>
          <w:szCs w:val="24"/>
          <w:lang w:eastAsia="hr-HR"/>
        </w:rPr>
      </w:pPr>
      <w:bookmarkStart w:id="34" w:name="_Toc95891868"/>
      <w:r w:rsidRPr="00C0186C">
        <w:rPr>
          <w:rFonts w:ascii="Times New Roman" w:hAnsi="Times New Roman" w:cs="Times New Roman"/>
          <w:b/>
          <w:bCs/>
          <w:caps w:val="0"/>
          <w:sz w:val="24"/>
          <w:szCs w:val="24"/>
          <w:lang w:eastAsia="hr-HR"/>
        </w:rPr>
        <w:t>INTEGRIRANI TERITORIJALNI PROGRAM 2021.- 2027.</w:t>
      </w:r>
      <w:bookmarkEnd w:id="34"/>
    </w:p>
    <w:p w14:paraId="2A744B40" w14:textId="77777777" w:rsidR="00887B69" w:rsidRPr="00C0186C" w:rsidRDefault="00887B69" w:rsidP="006829FA">
      <w:pPr>
        <w:spacing w:before="0" w:after="0"/>
        <w:rPr>
          <w:rFonts w:ascii="Times New Roman" w:hAnsi="Times New Roman" w:cs="Times New Roman"/>
          <w:lang w:eastAsia="hr-HR"/>
        </w:rPr>
      </w:pPr>
    </w:p>
    <w:p w14:paraId="4A77AD04" w14:textId="448626B0" w:rsidR="00887B69" w:rsidRDefault="00887B69" w:rsidP="006829FA">
      <w:pPr>
        <w:spacing w:before="0" w:after="0"/>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Integrirani teritorijalni program 2021. – 2027. (u daljnjem tekstu: ITP) obuhvaća ulaganja iz Europskog fonda za regionalni razvoj te Fonda za pravednu tranziciju za rješavanje specifičnih problema na lokalnoj i regionalnoj razini. Temelj ITP-a je Nacionalna razvojna strategija Republike Hrvatske 2030. (NRS 2030.), hijerarhijski najviši akt strateškog planiranja u Republici Hrvatskoj koji između ostalog određuje četiri smjera razvoja, a za ITP je relevantan smjer - Ravnomjerni regionalni razvoj. </w:t>
      </w:r>
    </w:p>
    <w:p w14:paraId="698717E2" w14:textId="77777777" w:rsidR="006829FA" w:rsidRPr="00C0186C" w:rsidRDefault="006829FA" w:rsidP="006829FA">
      <w:pPr>
        <w:spacing w:before="0" w:after="0"/>
        <w:jc w:val="both"/>
        <w:rPr>
          <w:rFonts w:ascii="Times New Roman" w:hAnsi="Times New Roman" w:cs="Times New Roman"/>
          <w:sz w:val="24"/>
          <w:szCs w:val="24"/>
          <w:lang w:eastAsia="hr-HR"/>
        </w:rPr>
      </w:pPr>
    </w:p>
    <w:p w14:paraId="6C355954" w14:textId="2FD90735" w:rsidR="00887B69" w:rsidRPr="00C0186C" w:rsidRDefault="00F43C67" w:rsidP="00B70EE8">
      <w:pPr>
        <w:widowControl w:val="0"/>
        <w:autoSpaceDE w:val="0"/>
        <w:autoSpaceDN w:val="0"/>
        <w:spacing w:before="0" w:after="0"/>
        <w:ind w:right="221"/>
        <w:jc w:val="both"/>
        <w:rPr>
          <w:rFonts w:ascii="Times New Roman" w:eastAsia="Times New Roman" w:hAnsi="Times New Roman" w:cs="Times New Roman"/>
          <w:color w:val="2D2B33"/>
          <w:spacing w:val="-29"/>
          <w:sz w:val="24"/>
          <w:szCs w:val="24"/>
        </w:rPr>
      </w:pPr>
      <w:r>
        <w:rPr>
          <w:rFonts w:ascii="Times New Roman" w:eastAsia="Times New Roman" w:hAnsi="Times New Roman" w:cs="Times New Roman"/>
          <w:sz w:val="24"/>
          <w:szCs w:val="24"/>
          <w:lang w:eastAsia="hr-HR"/>
        </w:rPr>
        <w:t>U</w:t>
      </w:r>
      <w:r w:rsidR="00887B69" w:rsidRPr="00C0186C">
        <w:rPr>
          <w:rFonts w:ascii="Times New Roman" w:eastAsia="Times New Roman" w:hAnsi="Times New Roman" w:cs="Times New Roman"/>
          <w:sz w:val="24"/>
          <w:szCs w:val="24"/>
          <w:lang w:eastAsia="hr-HR"/>
        </w:rPr>
        <w:t xml:space="preserve"> novom programskom razdoblju kroz ovaj </w:t>
      </w:r>
      <w:r>
        <w:rPr>
          <w:rFonts w:ascii="Times New Roman" w:eastAsia="Times New Roman" w:hAnsi="Times New Roman" w:cs="Times New Roman"/>
          <w:sz w:val="24"/>
          <w:szCs w:val="24"/>
          <w:lang w:eastAsia="hr-HR"/>
        </w:rPr>
        <w:t>P</w:t>
      </w:r>
      <w:r w:rsidR="00887B69" w:rsidRPr="00C0186C">
        <w:rPr>
          <w:rFonts w:ascii="Times New Roman" w:eastAsia="Times New Roman" w:hAnsi="Times New Roman" w:cs="Times New Roman"/>
          <w:sz w:val="24"/>
          <w:szCs w:val="24"/>
          <w:lang w:eastAsia="hr-HR"/>
        </w:rPr>
        <w:t xml:space="preserve">rogram cilj je na adekvatan način i cjelovito adresirati specifične probleme </w:t>
      </w:r>
      <w:r w:rsidR="00D17BCC">
        <w:rPr>
          <w:rFonts w:ascii="Times New Roman" w:eastAsia="Times New Roman" w:hAnsi="Times New Roman" w:cs="Times New Roman"/>
          <w:sz w:val="24"/>
          <w:szCs w:val="24"/>
          <w:lang w:eastAsia="hr-HR"/>
        </w:rPr>
        <w:t>te</w:t>
      </w:r>
      <w:r w:rsidR="00887B69" w:rsidRPr="00C0186C">
        <w:rPr>
          <w:rFonts w:ascii="Times New Roman" w:eastAsia="Times New Roman" w:hAnsi="Times New Roman" w:cs="Times New Roman"/>
          <w:sz w:val="24"/>
          <w:szCs w:val="24"/>
          <w:lang w:eastAsia="hr-HR"/>
        </w:rPr>
        <w:t xml:space="preserve"> potrebe na lokalnoj i regionalnoj razini. </w:t>
      </w:r>
      <w:r w:rsidR="00D17BCC">
        <w:rPr>
          <w:rFonts w:ascii="Times New Roman" w:eastAsia="Times New Roman" w:hAnsi="Times New Roman" w:cs="Times New Roman"/>
          <w:sz w:val="24"/>
          <w:szCs w:val="24"/>
          <w:lang w:eastAsia="hr-HR"/>
        </w:rPr>
        <w:t>N</w:t>
      </w:r>
      <w:r w:rsidR="00887B69" w:rsidRPr="00C0186C">
        <w:rPr>
          <w:rFonts w:ascii="Times New Roman" w:eastAsia="Times New Roman" w:hAnsi="Times New Roman" w:cs="Times New Roman"/>
          <w:sz w:val="24"/>
          <w:szCs w:val="24"/>
          <w:lang w:eastAsia="hr-HR"/>
        </w:rPr>
        <w:t xml:space="preserve">avedeni Program predstavlja iskorak obzirom da u odnosu na razdoblje 2014. – 2020. proširuje obuhvat ciljanog djelovanja EU sredstava na slabije razvijena područja, područja s razvojnim posebnostima te proširuje područja urbanih područja kako bi se omogućio ravnomjeran razvoj Hrvatske. </w:t>
      </w:r>
    </w:p>
    <w:p w14:paraId="55B0D46A" w14:textId="77777777" w:rsidR="00887B69" w:rsidRPr="00C0186C" w:rsidRDefault="00887B69" w:rsidP="00B70EE8">
      <w:pPr>
        <w:widowControl w:val="0"/>
        <w:autoSpaceDE w:val="0"/>
        <w:autoSpaceDN w:val="0"/>
        <w:spacing w:before="0" w:after="0"/>
        <w:ind w:right="221"/>
        <w:jc w:val="both"/>
        <w:rPr>
          <w:rFonts w:ascii="Times New Roman" w:eastAsia="Times New Roman" w:hAnsi="Times New Roman" w:cs="Times New Roman"/>
          <w:color w:val="2D2B33"/>
          <w:spacing w:val="-29"/>
          <w:sz w:val="24"/>
          <w:szCs w:val="24"/>
        </w:rPr>
      </w:pPr>
    </w:p>
    <w:p w14:paraId="21BC2749" w14:textId="1A3C3DCC" w:rsidR="00887B69" w:rsidRPr="00C0186C" w:rsidRDefault="00D17BCC" w:rsidP="00B70EE8">
      <w:pPr>
        <w:spacing w:before="0"/>
        <w:jc w:val="both"/>
        <w:rPr>
          <w:rFonts w:ascii="Times New Roman" w:hAnsi="Times New Roman" w:cs="Times New Roman"/>
          <w:sz w:val="24"/>
          <w:szCs w:val="24"/>
          <w:lang w:eastAsia="hr-HR"/>
        </w:rPr>
      </w:pPr>
      <w:r>
        <w:rPr>
          <w:rFonts w:ascii="Times New Roman" w:hAnsi="Times New Roman" w:cs="Times New Roman"/>
          <w:sz w:val="24"/>
          <w:szCs w:val="24"/>
          <w:lang w:eastAsia="hr-HR"/>
        </w:rPr>
        <w:t>U</w:t>
      </w:r>
      <w:r w:rsidR="00887B69" w:rsidRPr="00C0186C">
        <w:rPr>
          <w:rFonts w:ascii="Times New Roman" w:hAnsi="Times New Roman" w:cs="Times New Roman"/>
          <w:sz w:val="24"/>
          <w:szCs w:val="24"/>
          <w:lang w:eastAsia="hr-HR"/>
        </w:rPr>
        <w:t xml:space="preserve"> pogledu ekonomsko-geografske pokrivenosti, ITP će se usredotočiti na sljedeća područja:</w:t>
      </w:r>
    </w:p>
    <w:p w14:paraId="4A3BE3E6" w14:textId="77777777" w:rsidR="00887B69" w:rsidRPr="00C0186C" w:rsidRDefault="00887B69" w:rsidP="00CA63B9">
      <w:pPr>
        <w:numPr>
          <w:ilvl w:val="0"/>
          <w:numId w:val="37"/>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razvoj potpomognutih i brdsko-planinskih područja</w:t>
      </w:r>
    </w:p>
    <w:p w14:paraId="76A2DA39" w14:textId="77777777" w:rsidR="00887B69" w:rsidRPr="00C0186C" w:rsidRDefault="00887B69" w:rsidP="00CA63B9">
      <w:pPr>
        <w:numPr>
          <w:ilvl w:val="0"/>
          <w:numId w:val="37"/>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razvoj pametnih i održivih otoka</w:t>
      </w:r>
    </w:p>
    <w:p w14:paraId="609ABD95" w14:textId="77777777" w:rsidR="00887B69" w:rsidRPr="00C0186C" w:rsidRDefault="00887B69" w:rsidP="00CA63B9">
      <w:pPr>
        <w:numPr>
          <w:ilvl w:val="0"/>
          <w:numId w:val="37"/>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pametnu specijalizaciju i jačanje pozicije regionalnog gospodarstva u globalnim lancima vrijednosti odnosno industrijsku tranziciju</w:t>
      </w:r>
    </w:p>
    <w:p w14:paraId="4C1B9DD5" w14:textId="141B6F7D" w:rsidR="00887B69" w:rsidRDefault="00887B69" w:rsidP="00B70EE8">
      <w:pPr>
        <w:numPr>
          <w:ilvl w:val="0"/>
          <w:numId w:val="37"/>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razvoj pametnih i održivih gradova.</w:t>
      </w:r>
    </w:p>
    <w:p w14:paraId="7B90C09C" w14:textId="77777777" w:rsidR="00D17BCC" w:rsidRPr="00E32A7A" w:rsidRDefault="00D17BCC" w:rsidP="00D17BCC">
      <w:pPr>
        <w:spacing w:before="0" w:after="0"/>
        <w:ind w:left="720"/>
        <w:contextualSpacing/>
        <w:jc w:val="both"/>
        <w:rPr>
          <w:rFonts w:ascii="Times New Roman" w:hAnsi="Times New Roman" w:cs="Times New Roman"/>
          <w:sz w:val="24"/>
          <w:szCs w:val="24"/>
          <w:lang w:eastAsia="hr-HR"/>
        </w:rPr>
      </w:pPr>
    </w:p>
    <w:p w14:paraId="5A82C5F9" w14:textId="77777777" w:rsidR="00887B69" w:rsidRPr="00C0186C" w:rsidRDefault="00887B69" w:rsidP="006829FA">
      <w:pPr>
        <w:spacing w:before="0" w:after="0"/>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Vrijednost EU dijela financiranja iz Europskog fonda za regionalni razvoj i Fonda pravedne tranzicije za ITP je oko 14 milijardi kuna.</w:t>
      </w:r>
    </w:p>
    <w:p w14:paraId="65F1DA3D" w14:textId="77777777" w:rsidR="00887B69" w:rsidRPr="00C0186C" w:rsidRDefault="00887B69" w:rsidP="00B70EE8">
      <w:pPr>
        <w:spacing w:before="0"/>
        <w:jc w:val="both"/>
        <w:rPr>
          <w:rFonts w:ascii="Times New Roman" w:hAnsi="Times New Roman" w:cs="Times New Roman"/>
          <w:sz w:val="24"/>
          <w:szCs w:val="24"/>
          <w:lang w:eastAsia="hr-HR"/>
        </w:rPr>
      </w:pPr>
    </w:p>
    <w:p w14:paraId="2D62B374" w14:textId="77777777" w:rsidR="006829FA" w:rsidRDefault="00887B69" w:rsidP="00B70EE8">
      <w:pPr>
        <w:spacing w:before="0"/>
        <w:jc w:val="both"/>
        <w:rPr>
          <w:rFonts w:ascii="Times New Roman" w:hAnsi="Times New Roman" w:cs="Times New Roman"/>
          <w:sz w:val="24"/>
          <w:szCs w:val="24"/>
          <w:lang w:eastAsia="hr-HR"/>
        </w:rPr>
      </w:pPr>
      <w:r w:rsidRPr="00C0186C">
        <w:rPr>
          <w:rFonts w:ascii="Times New Roman" w:hAnsi="Times New Roman" w:cs="Times New Roman"/>
          <w:noProof/>
          <w:sz w:val="24"/>
          <w:szCs w:val="24"/>
          <w:lang w:eastAsia="hr-HR"/>
        </w:rPr>
        <w:drawing>
          <wp:inline distT="0" distB="0" distL="0" distR="0" wp14:anchorId="5E28019D" wp14:editId="3FD2DE65">
            <wp:extent cx="5486400" cy="3200400"/>
            <wp:effectExtent l="0" t="0" r="0" b="19050"/>
            <wp:docPr id="63"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F19CE6A" w14:textId="77777777" w:rsidR="006829FA" w:rsidRDefault="006829FA" w:rsidP="006829FA">
      <w:pPr>
        <w:spacing w:before="0" w:after="0"/>
        <w:jc w:val="both"/>
        <w:rPr>
          <w:rFonts w:ascii="Times New Roman" w:hAnsi="Times New Roman" w:cs="Times New Roman"/>
          <w:sz w:val="24"/>
          <w:szCs w:val="24"/>
          <w:lang w:eastAsia="hr-HR"/>
        </w:rPr>
      </w:pPr>
    </w:p>
    <w:p w14:paraId="1222CB3D" w14:textId="77777777" w:rsidR="00EF28BF" w:rsidRPr="000D3324" w:rsidRDefault="00EF28BF" w:rsidP="00B70EE8">
      <w:pPr>
        <w:spacing w:before="0"/>
        <w:jc w:val="both"/>
        <w:rPr>
          <w:rFonts w:ascii="Times New Roman" w:hAnsi="Times New Roman" w:cs="Times New Roman"/>
          <w:sz w:val="24"/>
          <w:szCs w:val="24"/>
          <w:lang w:eastAsia="hr-HR"/>
        </w:rPr>
      </w:pPr>
    </w:p>
    <w:p w14:paraId="5D68DB05" w14:textId="77777777" w:rsidR="00AB326E" w:rsidRDefault="00AB326E" w:rsidP="00AB326E">
      <w:pPr>
        <w:jc w:val="both"/>
        <w:rPr>
          <w:rFonts w:asciiTheme="majorBidi" w:eastAsia="Times New Roman" w:hAnsiTheme="majorBidi" w:cstheme="majorBidi"/>
          <w:sz w:val="24"/>
          <w:szCs w:val="24"/>
        </w:rPr>
      </w:pPr>
    </w:p>
    <w:p w14:paraId="7E18D156" w14:textId="20544F09" w:rsidR="00014BA7" w:rsidRPr="000D3324" w:rsidRDefault="00EF28BF" w:rsidP="00AB326E">
      <w:pPr>
        <w:jc w:val="both"/>
        <w:rPr>
          <w:rFonts w:asciiTheme="majorBidi" w:eastAsia="Times New Roman" w:hAnsiTheme="majorBidi" w:cstheme="majorBidi"/>
          <w:sz w:val="24"/>
          <w:szCs w:val="24"/>
        </w:rPr>
      </w:pPr>
      <w:r w:rsidRPr="000D3324">
        <w:rPr>
          <w:rFonts w:asciiTheme="majorBidi" w:eastAsia="Times New Roman" w:hAnsiTheme="majorBidi" w:cstheme="majorBidi"/>
          <w:sz w:val="24"/>
          <w:szCs w:val="24"/>
        </w:rPr>
        <w:t xml:space="preserve">U </w:t>
      </w:r>
      <w:r w:rsidR="008419BC" w:rsidRPr="000D3324">
        <w:rPr>
          <w:rFonts w:asciiTheme="majorBidi" w:eastAsia="Times New Roman" w:hAnsiTheme="majorBidi" w:cstheme="majorBidi"/>
          <w:sz w:val="24"/>
          <w:szCs w:val="24"/>
        </w:rPr>
        <w:t>okviru ITP-a, planiraju se posebne operacije samo za potpomognuta područja te su u tu namjenu posebno izdvojena sredstva iz višegodišnjeg financijskog okvira Europske unije 2021.-2027. u odnosu na ostatak Republike Hrvatske.</w:t>
      </w:r>
      <w:r w:rsidR="00014BA7" w:rsidRPr="00014BA7">
        <w:t xml:space="preserve"> </w:t>
      </w:r>
    </w:p>
    <w:p w14:paraId="7D572C25" w14:textId="1AA724FD" w:rsidR="000A585E" w:rsidRDefault="000A585E" w:rsidP="00EF28BF">
      <w:pPr>
        <w:widowControl w:val="0"/>
        <w:autoSpaceDE w:val="0"/>
        <w:autoSpaceDN w:val="0"/>
        <w:spacing w:before="0" w:after="0"/>
        <w:ind w:right="221"/>
        <w:jc w:val="both"/>
        <w:rPr>
          <w:rFonts w:ascii="Times New Roman" w:eastAsia="Times New Roman" w:hAnsi="Times New Roman" w:cs="Times New Roman"/>
          <w:sz w:val="24"/>
          <w:szCs w:val="24"/>
        </w:rPr>
      </w:pPr>
    </w:p>
    <w:p w14:paraId="1942AD0B" w14:textId="77777777" w:rsidR="00AB326E" w:rsidRDefault="00AB326E" w:rsidP="00EF28BF">
      <w:pPr>
        <w:widowControl w:val="0"/>
        <w:autoSpaceDE w:val="0"/>
        <w:autoSpaceDN w:val="0"/>
        <w:spacing w:before="0" w:after="0"/>
        <w:ind w:right="221"/>
        <w:jc w:val="both"/>
        <w:rPr>
          <w:rFonts w:ascii="Times New Roman" w:eastAsia="Times New Roman" w:hAnsi="Times New Roman" w:cs="Times New Roman"/>
          <w:sz w:val="24"/>
          <w:szCs w:val="24"/>
        </w:rPr>
      </w:pPr>
    </w:p>
    <w:tbl>
      <w:tblPr>
        <w:tblStyle w:val="GridTable5Dark-Accent1"/>
        <w:tblW w:w="6658" w:type="dxa"/>
        <w:tblInd w:w="1200" w:type="dxa"/>
        <w:tblLayout w:type="fixed"/>
        <w:tblLook w:val="0600" w:firstRow="0" w:lastRow="0" w:firstColumn="0" w:lastColumn="0" w:noHBand="1" w:noVBand="1"/>
      </w:tblPr>
      <w:tblGrid>
        <w:gridCol w:w="6658"/>
      </w:tblGrid>
      <w:tr w:rsidR="000A585E" w:rsidRPr="00AD7487" w14:paraId="2D9B65F7" w14:textId="77777777" w:rsidTr="008419BC">
        <w:trPr>
          <w:trHeight w:val="567"/>
        </w:trPr>
        <w:tc>
          <w:tcPr>
            <w:tcW w:w="6658" w:type="dxa"/>
            <w:vAlign w:val="center"/>
            <w:hideMark/>
          </w:tcPr>
          <w:p w14:paraId="476FF874" w14:textId="107F4C47" w:rsidR="000A585E" w:rsidRPr="000D3324" w:rsidRDefault="000A585E" w:rsidP="00570895">
            <w:pPr>
              <w:spacing w:before="0"/>
              <w:jc w:val="center"/>
              <w:textAlignment w:val="bottom"/>
              <w:rPr>
                <w:rFonts w:asciiTheme="majorBidi" w:eastAsia="Times New Roman" w:hAnsiTheme="majorBidi" w:cstheme="majorBidi"/>
                <w:b/>
                <w:bCs/>
                <w:sz w:val="28"/>
                <w:szCs w:val="28"/>
                <w:lang w:eastAsia="hr-HR"/>
              </w:rPr>
            </w:pPr>
            <w:r w:rsidRPr="000D3324">
              <w:rPr>
                <w:rFonts w:asciiTheme="majorBidi" w:eastAsia="Times New Roman" w:hAnsiTheme="majorBidi" w:cstheme="majorBidi"/>
                <w:b/>
                <w:bCs/>
                <w:sz w:val="28"/>
                <w:szCs w:val="28"/>
                <w:lang w:eastAsia="hr-HR"/>
              </w:rPr>
              <w:t xml:space="preserve">PRIORITETI ULAGANJA U OKVIRU ITP-A </w:t>
            </w:r>
          </w:p>
        </w:tc>
      </w:tr>
      <w:tr w:rsidR="000A585E" w:rsidRPr="00D200B3" w14:paraId="273E282B" w14:textId="77777777" w:rsidTr="008419BC">
        <w:trPr>
          <w:trHeight w:val="567"/>
        </w:trPr>
        <w:tc>
          <w:tcPr>
            <w:tcW w:w="6658" w:type="dxa"/>
            <w:shd w:val="clear" w:color="auto" w:fill="F2F2F2" w:themeFill="background1" w:themeFillShade="F2"/>
            <w:vAlign w:val="center"/>
            <w:hideMark/>
          </w:tcPr>
          <w:p w14:paraId="35A061A0" w14:textId="28BC1722" w:rsidR="000A585E" w:rsidRPr="000D3324" w:rsidRDefault="00014BA7" w:rsidP="008419BC">
            <w:pPr>
              <w:spacing w:before="0"/>
              <w:jc w:val="center"/>
              <w:textAlignment w:val="bottom"/>
              <w:rPr>
                <w:rFonts w:asciiTheme="majorBidi" w:eastAsia="Times New Roman" w:hAnsiTheme="majorBidi" w:cstheme="majorBidi"/>
                <w:kern w:val="24"/>
                <w:sz w:val="24"/>
                <w:szCs w:val="24"/>
                <w:lang w:val="pl-PL" w:eastAsia="hr-HR"/>
              </w:rPr>
            </w:pPr>
            <w:r>
              <w:rPr>
                <w:rFonts w:asciiTheme="majorBidi" w:eastAsia="Times New Roman" w:hAnsiTheme="majorBidi" w:cstheme="majorBidi"/>
                <w:kern w:val="24"/>
                <w:sz w:val="24"/>
                <w:szCs w:val="24"/>
                <w:lang w:val="pl-PL" w:eastAsia="hr-HR"/>
              </w:rPr>
              <w:t>P</w:t>
            </w:r>
            <w:r w:rsidRPr="00014BA7">
              <w:rPr>
                <w:rFonts w:asciiTheme="majorBidi" w:eastAsia="Times New Roman" w:hAnsiTheme="majorBidi" w:cstheme="majorBidi"/>
                <w:kern w:val="24"/>
                <w:sz w:val="24"/>
                <w:szCs w:val="24"/>
                <w:lang w:val="pl-PL" w:eastAsia="hr-HR"/>
              </w:rPr>
              <w:t>oticati jačanje održivog rasta i konkurentnosti MSP-ova</w:t>
            </w:r>
          </w:p>
          <w:p w14:paraId="3DA376D1" w14:textId="095FA743" w:rsidR="000A585E" w:rsidRPr="000D3324" w:rsidRDefault="000A585E" w:rsidP="008419BC">
            <w:pPr>
              <w:spacing w:before="0"/>
              <w:jc w:val="center"/>
              <w:textAlignment w:val="bottom"/>
              <w:rPr>
                <w:rFonts w:asciiTheme="majorBidi" w:eastAsia="Times New Roman" w:hAnsiTheme="majorBidi" w:cstheme="majorBidi"/>
                <w:sz w:val="24"/>
                <w:szCs w:val="24"/>
                <w:lang w:eastAsia="hr-HR"/>
              </w:rPr>
            </w:pPr>
          </w:p>
        </w:tc>
      </w:tr>
      <w:tr w:rsidR="000A585E" w:rsidRPr="00D200B3" w14:paraId="5D1550D3" w14:textId="77777777" w:rsidTr="008419BC">
        <w:trPr>
          <w:trHeight w:val="567"/>
        </w:trPr>
        <w:tc>
          <w:tcPr>
            <w:tcW w:w="6658" w:type="dxa"/>
            <w:shd w:val="clear" w:color="auto" w:fill="F2F2F2" w:themeFill="background1" w:themeFillShade="F2"/>
            <w:vAlign w:val="center"/>
            <w:hideMark/>
          </w:tcPr>
          <w:p w14:paraId="1697C42D" w14:textId="2BE07C06" w:rsidR="000A585E" w:rsidRPr="000D3324" w:rsidRDefault="00014BA7" w:rsidP="008419BC">
            <w:pPr>
              <w:spacing w:before="0"/>
              <w:jc w:val="center"/>
              <w:textAlignment w:val="bottom"/>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t>P</w:t>
            </w:r>
            <w:r w:rsidRPr="00014BA7">
              <w:rPr>
                <w:rFonts w:asciiTheme="majorBidi" w:eastAsia="Times New Roman" w:hAnsiTheme="majorBidi" w:cstheme="majorBidi"/>
                <w:sz w:val="24"/>
                <w:szCs w:val="24"/>
                <w:lang w:eastAsia="hr-HR"/>
              </w:rPr>
              <w:t xml:space="preserve">oboljšanje jednakog pristupa </w:t>
            </w:r>
            <w:proofErr w:type="spellStart"/>
            <w:r w:rsidRPr="00014BA7">
              <w:rPr>
                <w:rFonts w:asciiTheme="majorBidi" w:eastAsia="Times New Roman" w:hAnsiTheme="majorBidi" w:cstheme="majorBidi"/>
                <w:sz w:val="24"/>
                <w:szCs w:val="24"/>
                <w:lang w:eastAsia="hr-HR"/>
              </w:rPr>
              <w:t>uključivim</w:t>
            </w:r>
            <w:proofErr w:type="spellEnd"/>
            <w:r w:rsidRPr="00014BA7">
              <w:rPr>
                <w:rFonts w:asciiTheme="majorBidi" w:eastAsia="Times New Roman" w:hAnsiTheme="majorBidi" w:cstheme="majorBidi"/>
                <w:sz w:val="24"/>
                <w:szCs w:val="24"/>
                <w:lang w:eastAsia="hr-HR"/>
              </w:rPr>
              <w:t xml:space="preserve"> i kvalitetnim uslugama obrazovanja, osposobljavanja i cjeloživotnog učenja kroz razvoj pristupačne infrastrukture</w:t>
            </w:r>
          </w:p>
        </w:tc>
      </w:tr>
      <w:tr w:rsidR="000A585E" w:rsidRPr="00D200B3" w14:paraId="45EC1055" w14:textId="77777777" w:rsidTr="008419BC">
        <w:trPr>
          <w:trHeight w:val="567"/>
        </w:trPr>
        <w:tc>
          <w:tcPr>
            <w:tcW w:w="6658" w:type="dxa"/>
            <w:shd w:val="clear" w:color="auto" w:fill="F2F2F2" w:themeFill="background1" w:themeFillShade="F2"/>
            <w:vAlign w:val="center"/>
            <w:hideMark/>
          </w:tcPr>
          <w:p w14:paraId="15CAA38B" w14:textId="4D70E0AE" w:rsidR="000A585E" w:rsidRPr="000D3324" w:rsidRDefault="000A585E" w:rsidP="008419BC">
            <w:pPr>
              <w:spacing w:before="0"/>
              <w:jc w:val="center"/>
              <w:textAlignment w:val="bottom"/>
              <w:rPr>
                <w:rFonts w:asciiTheme="majorBidi" w:eastAsia="Times New Roman" w:hAnsiTheme="majorBidi" w:cstheme="majorBidi"/>
                <w:sz w:val="24"/>
                <w:szCs w:val="24"/>
                <w:lang w:eastAsia="hr-HR"/>
              </w:rPr>
            </w:pPr>
            <w:r w:rsidRPr="000D3324">
              <w:rPr>
                <w:rFonts w:asciiTheme="majorBidi" w:eastAsia="Times New Roman" w:hAnsiTheme="majorBidi" w:cstheme="majorBidi"/>
                <w:sz w:val="24"/>
                <w:szCs w:val="24"/>
                <w:lang w:eastAsia="hr-HR"/>
              </w:rPr>
              <w:t>Unaprjeđenje biciklističke infrastrukture u potpomognutim područjima</w:t>
            </w:r>
          </w:p>
        </w:tc>
      </w:tr>
      <w:tr w:rsidR="000A585E" w:rsidRPr="00D200B3" w14:paraId="21F132E1" w14:textId="77777777" w:rsidTr="008419BC">
        <w:trPr>
          <w:trHeight w:val="567"/>
        </w:trPr>
        <w:tc>
          <w:tcPr>
            <w:tcW w:w="6658" w:type="dxa"/>
            <w:shd w:val="clear" w:color="auto" w:fill="F2F2F2" w:themeFill="background1" w:themeFillShade="F2"/>
            <w:vAlign w:val="center"/>
            <w:hideMark/>
          </w:tcPr>
          <w:p w14:paraId="0C3B6F43" w14:textId="6549B784" w:rsidR="000A585E" w:rsidRPr="000D3324" w:rsidRDefault="000A585E" w:rsidP="008419BC">
            <w:pPr>
              <w:spacing w:before="0"/>
              <w:jc w:val="center"/>
              <w:textAlignment w:val="bottom"/>
              <w:rPr>
                <w:rFonts w:asciiTheme="majorBidi" w:eastAsia="Times New Roman" w:hAnsiTheme="majorBidi" w:cstheme="majorBidi"/>
                <w:sz w:val="24"/>
                <w:szCs w:val="24"/>
                <w:lang w:eastAsia="hr-HR"/>
              </w:rPr>
            </w:pPr>
            <w:r w:rsidRPr="000D3324">
              <w:rPr>
                <w:rFonts w:asciiTheme="majorBidi" w:eastAsia="Times New Roman" w:hAnsiTheme="majorBidi" w:cstheme="majorBidi"/>
                <w:sz w:val="24"/>
                <w:szCs w:val="24"/>
                <w:lang w:eastAsia="hr-HR"/>
              </w:rPr>
              <w:t>Povećanje pristupačnosti socijalne, zdravstvene i obrazovne infrastrukture uz turističku revitalizaciju potpomognutih područja</w:t>
            </w:r>
          </w:p>
        </w:tc>
      </w:tr>
      <w:tr w:rsidR="000A585E" w:rsidRPr="00D200B3" w14:paraId="1662F8AF" w14:textId="77777777" w:rsidTr="008419BC">
        <w:trPr>
          <w:trHeight w:val="567"/>
        </w:trPr>
        <w:tc>
          <w:tcPr>
            <w:tcW w:w="6658" w:type="dxa"/>
            <w:shd w:val="clear" w:color="auto" w:fill="F2F2F2" w:themeFill="background1" w:themeFillShade="F2"/>
            <w:vAlign w:val="center"/>
          </w:tcPr>
          <w:p w14:paraId="3D39B44F" w14:textId="1705C8D5" w:rsidR="000A585E" w:rsidRPr="000D3324" w:rsidRDefault="00014BA7" w:rsidP="008419BC">
            <w:pPr>
              <w:spacing w:before="0"/>
              <w:jc w:val="center"/>
              <w:textAlignment w:val="bottom"/>
              <w:rPr>
                <w:rFonts w:asciiTheme="majorBidi" w:eastAsia="Times New Roman" w:hAnsiTheme="majorBidi" w:cstheme="majorBidi"/>
                <w:kern w:val="24"/>
                <w:sz w:val="24"/>
                <w:szCs w:val="24"/>
                <w:lang w:eastAsia="hr-HR"/>
              </w:rPr>
            </w:pPr>
            <w:r>
              <w:rPr>
                <w:rFonts w:asciiTheme="majorBidi" w:eastAsia="Times New Roman" w:hAnsiTheme="majorBidi" w:cstheme="majorBidi"/>
                <w:kern w:val="24"/>
                <w:sz w:val="24"/>
                <w:szCs w:val="24"/>
                <w:lang w:eastAsia="hr-HR"/>
              </w:rPr>
              <w:t>J</w:t>
            </w:r>
            <w:r w:rsidRPr="00014BA7">
              <w:rPr>
                <w:rFonts w:asciiTheme="majorBidi" w:eastAsia="Times New Roman" w:hAnsiTheme="majorBidi" w:cstheme="majorBidi"/>
                <w:kern w:val="24"/>
                <w:sz w:val="24"/>
                <w:szCs w:val="24"/>
                <w:lang w:eastAsia="hr-HR"/>
              </w:rPr>
              <w:t>ačanje uloge kulture i održivog turizma u gospodarskom razvoju.</w:t>
            </w:r>
          </w:p>
        </w:tc>
      </w:tr>
    </w:tbl>
    <w:p w14:paraId="301BEBDF" w14:textId="6F637AF0" w:rsidR="000F757C" w:rsidRDefault="000F757C" w:rsidP="00B70EE8">
      <w:pPr>
        <w:spacing w:before="0"/>
        <w:jc w:val="both"/>
        <w:rPr>
          <w:rFonts w:ascii="Times New Roman" w:hAnsi="Times New Roman" w:cs="Times New Roman"/>
          <w:sz w:val="24"/>
          <w:szCs w:val="24"/>
          <w:lang w:eastAsia="hr-HR"/>
        </w:rPr>
      </w:pPr>
    </w:p>
    <w:p w14:paraId="430BA0C2" w14:textId="1E42F036" w:rsidR="000D3324" w:rsidRDefault="000D3324" w:rsidP="00B70EE8">
      <w:pPr>
        <w:spacing w:before="0"/>
        <w:jc w:val="both"/>
        <w:rPr>
          <w:rFonts w:ascii="Times New Roman" w:hAnsi="Times New Roman" w:cs="Times New Roman"/>
          <w:sz w:val="24"/>
          <w:szCs w:val="24"/>
          <w:lang w:eastAsia="hr-HR"/>
        </w:rPr>
      </w:pPr>
    </w:p>
    <w:p w14:paraId="09060B6E" w14:textId="47F13D33" w:rsidR="00AB326E" w:rsidRDefault="00AB326E" w:rsidP="00B70EE8">
      <w:pPr>
        <w:spacing w:before="0"/>
        <w:jc w:val="both"/>
        <w:rPr>
          <w:rFonts w:ascii="Times New Roman" w:hAnsi="Times New Roman" w:cs="Times New Roman"/>
          <w:sz w:val="24"/>
          <w:szCs w:val="24"/>
          <w:lang w:eastAsia="hr-HR"/>
        </w:rPr>
      </w:pPr>
    </w:p>
    <w:p w14:paraId="4C8FAF43" w14:textId="77777777" w:rsidR="00AB326E" w:rsidRDefault="00AB326E" w:rsidP="00B70EE8">
      <w:pPr>
        <w:spacing w:before="0"/>
        <w:jc w:val="both"/>
        <w:rPr>
          <w:rFonts w:ascii="Times New Roman" w:hAnsi="Times New Roman" w:cs="Times New Roman"/>
          <w:sz w:val="24"/>
          <w:szCs w:val="24"/>
          <w:lang w:eastAsia="hr-HR"/>
        </w:rPr>
      </w:pPr>
    </w:p>
    <w:p w14:paraId="18006825" w14:textId="58961CE5" w:rsidR="00887B69" w:rsidRPr="00C0186C" w:rsidRDefault="002B4599" w:rsidP="00CA63B9">
      <w:pPr>
        <w:pStyle w:val="Heading2"/>
        <w:numPr>
          <w:ilvl w:val="1"/>
          <w:numId w:val="43"/>
        </w:numPr>
        <w:spacing w:before="0"/>
        <w:ind w:left="567" w:hanging="567"/>
        <w:rPr>
          <w:rFonts w:ascii="Times New Roman" w:hAnsi="Times New Roman" w:cs="Times New Roman"/>
          <w:b/>
          <w:bCs/>
          <w:sz w:val="24"/>
          <w:szCs w:val="24"/>
          <w:lang w:eastAsia="hr-HR"/>
        </w:rPr>
      </w:pPr>
      <w:bookmarkStart w:id="35" w:name="_Toc95891869"/>
      <w:r w:rsidRPr="00C0186C">
        <w:rPr>
          <w:rFonts w:ascii="Times New Roman" w:hAnsi="Times New Roman" w:cs="Times New Roman"/>
          <w:b/>
          <w:bCs/>
          <w:caps w:val="0"/>
          <w:sz w:val="24"/>
          <w:szCs w:val="24"/>
          <w:lang w:eastAsia="hr-HR"/>
        </w:rPr>
        <w:t>PROGRAM UČINKOVITI LJUDSKI POTENCIJALI 2021. – 2027.</w:t>
      </w:r>
      <w:bookmarkEnd w:id="35"/>
    </w:p>
    <w:p w14:paraId="62A7FF33" w14:textId="77777777" w:rsidR="00887B69" w:rsidRPr="00C0186C" w:rsidRDefault="00887B69" w:rsidP="006829FA">
      <w:pPr>
        <w:spacing w:before="0" w:after="0"/>
        <w:rPr>
          <w:rFonts w:ascii="Times New Roman" w:hAnsi="Times New Roman" w:cs="Times New Roman"/>
          <w:sz w:val="24"/>
          <w:szCs w:val="24"/>
          <w:lang w:eastAsia="hr-HR"/>
        </w:rPr>
      </w:pPr>
    </w:p>
    <w:p w14:paraId="61F6245D" w14:textId="77787CFE" w:rsidR="00887B69" w:rsidRDefault="00887B69" w:rsidP="006829FA">
      <w:pPr>
        <w:spacing w:before="0" w:after="0"/>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Predviđeni Prioriteti u Programu učinkoviti ljudski potencijali 2021. – 2027. nose ukupnu inicijalnu vrijednost od 15,07 milijardi kuna za razdoblje do kraja 2029. godine. Obuhvaćeni su posebni ciljevi u okviru cilja politike 4 za Europski socijalni fond plus. </w:t>
      </w:r>
    </w:p>
    <w:p w14:paraId="64602132" w14:textId="77777777" w:rsidR="006829FA" w:rsidRPr="00C0186C" w:rsidRDefault="006829FA" w:rsidP="006829FA">
      <w:pPr>
        <w:spacing w:before="0" w:after="0"/>
        <w:jc w:val="both"/>
        <w:rPr>
          <w:rFonts w:ascii="Times New Roman" w:hAnsi="Times New Roman" w:cs="Times New Roman"/>
          <w:sz w:val="24"/>
          <w:szCs w:val="24"/>
          <w:lang w:eastAsia="hr-HR"/>
        </w:rPr>
      </w:pPr>
    </w:p>
    <w:p w14:paraId="3ADDDFA6" w14:textId="77777777" w:rsidR="00887B69" w:rsidRPr="00C0186C" w:rsidRDefault="00887B69" w:rsidP="00B70EE8">
      <w:pPr>
        <w:spacing w:before="0"/>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Prioriteti ulaganja u okviru Programa učinkoviti ljudski potencijali 2021.-2027.:</w:t>
      </w:r>
    </w:p>
    <w:p w14:paraId="05A5030D" w14:textId="73416BCF" w:rsidR="009E3BB8" w:rsidRPr="006C4249" w:rsidRDefault="009E3BB8" w:rsidP="009E3BB8">
      <w:pPr>
        <w:pStyle w:val="ListParagraph"/>
        <w:numPr>
          <w:ilvl w:val="0"/>
          <w:numId w:val="44"/>
        </w:numPr>
        <w:spacing w:before="0" w:after="160" w:line="259" w:lineRule="auto"/>
        <w:rPr>
          <w:rFonts w:ascii="Times New Roman" w:hAnsi="Times New Roman" w:cs="Times New Roman"/>
          <w:sz w:val="24"/>
          <w:szCs w:val="24"/>
        </w:rPr>
      </w:pPr>
      <w:proofErr w:type="spellStart"/>
      <w:r w:rsidRPr="006C4249">
        <w:rPr>
          <w:rFonts w:ascii="Times New Roman" w:hAnsi="Times New Roman" w:cs="Times New Roman"/>
          <w:sz w:val="24"/>
          <w:szCs w:val="24"/>
        </w:rPr>
        <w:t>Inkluzivno</w:t>
      </w:r>
      <w:proofErr w:type="spellEnd"/>
      <w:r w:rsidRPr="006C4249">
        <w:rPr>
          <w:rFonts w:ascii="Times New Roman" w:hAnsi="Times New Roman" w:cs="Times New Roman"/>
          <w:sz w:val="24"/>
          <w:szCs w:val="24"/>
        </w:rPr>
        <w:t xml:space="preserve"> tržište rada i poticanje zapošljavanja</w:t>
      </w:r>
    </w:p>
    <w:p w14:paraId="2672BDA6" w14:textId="77777777" w:rsidR="009E3BB8" w:rsidRPr="006C4249" w:rsidRDefault="009E3BB8" w:rsidP="009E3BB8">
      <w:pPr>
        <w:pStyle w:val="ListParagraph"/>
        <w:numPr>
          <w:ilvl w:val="0"/>
          <w:numId w:val="44"/>
        </w:numPr>
        <w:spacing w:before="0" w:after="160" w:line="259" w:lineRule="auto"/>
        <w:rPr>
          <w:rFonts w:ascii="Times New Roman" w:hAnsi="Times New Roman" w:cs="Times New Roman"/>
          <w:sz w:val="24"/>
          <w:szCs w:val="24"/>
        </w:rPr>
      </w:pPr>
      <w:r w:rsidRPr="006C4249">
        <w:rPr>
          <w:rFonts w:ascii="Times New Roman" w:hAnsi="Times New Roman" w:cs="Times New Roman"/>
          <w:sz w:val="24"/>
          <w:szCs w:val="24"/>
        </w:rPr>
        <w:t>Obrazovanje i cjeloživotno učenje</w:t>
      </w:r>
    </w:p>
    <w:p w14:paraId="1AE25E6D" w14:textId="77777777" w:rsidR="009E3BB8" w:rsidRPr="006C4249" w:rsidRDefault="009E3BB8" w:rsidP="009E3BB8">
      <w:pPr>
        <w:pStyle w:val="ListParagraph"/>
        <w:numPr>
          <w:ilvl w:val="0"/>
          <w:numId w:val="44"/>
        </w:numPr>
        <w:spacing w:before="0" w:after="160" w:line="259" w:lineRule="auto"/>
        <w:rPr>
          <w:rFonts w:ascii="Times New Roman" w:hAnsi="Times New Roman" w:cs="Times New Roman"/>
          <w:sz w:val="24"/>
          <w:szCs w:val="24"/>
        </w:rPr>
      </w:pPr>
      <w:r w:rsidRPr="006C4249">
        <w:rPr>
          <w:rFonts w:ascii="Times New Roman" w:hAnsi="Times New Roman" w:cs="Times New Roman"/>
          <w:sz w:val="24"/>
          <w:szCs w:val="24"/>
        </w:rPr>
        <w:t>Socijalno uključivanje</w:t>
      </w:r>
    </w:p>
    <w:p w14:paraId="794D3C42" w14:textId="77777777" w:rsidR="009E3BB8" w:rsidRPr="006C4249" w:rsidRDefault="009E3BB8" w:rsidP="009E3BB8">
      <w:pPr>
        <w:pStyle w:val="ListParagraph"/>
        <w:numPr>
          <w:ilvl w:val="0"/>
          <w:numId w:val="44"/>
        </w:numPr>
        <w:spacing w:before="0" w:after="160" w:line="259" w:lineRule="auto"/>
        <w:rPr>
          <w:rFonts w:ascii="Times New Roman" w:hAnsi="Times New Roman" w:cs="Times New Roman"/>
          <w:sz w:val="24"/>
          <w:szCs w:val="24"/>
        </w:rPr>
      </w:pPr>
      <w:r w:rsidRPr="006C4249">
        <w:rPr>
          <w:rFonts w:ascii="Times New Roman" w:hAnsi="Times New Roman" w:cs="Times New Roman"/>
          <w:sz w:val="24"/>
          <w:szCs w:val="24"/>
        </w:rPr>
        <w:t>Zdravstvo</w:t>
      </w:r>
    </w:p>
    <w:p w14:paraId="230DA6D1" w14:textId="77777777" w:rsidR="009E3BB8" w:rsidRPr="006C4249" w:rsidRDefault="009E3BB8" w:rsidP="00684ED9">
      <w:pPr>
        <w:pStyle w:val="ListParagraph"/>
        <w:numPr>
          <w:ilvl w:val="0"/>
          <w:numId w:val="44"/>
        </w:numPr>
        <w:spacing w:before="0" w:after="0" w:line="259" w:lineRule="auto"/>
        <w:rPr>
          <w:rFonts w:ascii="Times New Roman" w:hAnsi="Times New Roman" w:cs="Times New Roman"/>
          <w:sz w:val="24"/>
          <w:szCs w:val="24"/>
        </w:rPr>
      </w:pPr>
      <w:r w:rsidRPr="006C4249">
        <w:rPr>
          <w:rFonts w:ascii="Times New Roman" w:hAnsi="Times New Roman" w:cs="Times New Roman"/>
          <w:sz w:val="24"/>
          <w:szCs w:val="24"/>
        </w:rPr>
        <w:t>Zapošljavanje mladih</w:t>
      </w:r>
    </w:p>
    <w:p w14:paraId="5DC556B2" w14:textId="77777777" w:rsidR="009E3BB8" w:rsidRPr="006C4249" w:rsidRDefault="009E3BB8" w:rsidP="00684ED9">
      <w:pPr>
        <w:pStyle w:val="ListParagraph"/>
        <w:numPr>
          <w:ilvl w:val="0"/>
          <w:numId w:val="44"/>
        </w:numPr>
        <w:spacing w:before="0" w:after="0" w:line="259" w:lineRule="auto"/>
        <w:rPr>
          <w:rFonts w:ascii="Times New Roman" w:hAnsi="Times New Roman" w:cs="Times New Roman"/>
          <w:sz w:val="24"/>
          <w:szCs w:val="24"/>
        </w:rPr>
      </w:pPr>
      <w:r w:rsidRPr="006C4249">
        <w:rPr>
          <w:rFonts w:ascii="Times New Roman" w:hAnsi="Times New Roman" w:cs="Times New Roman"/>
          <w:sz w:val="24"/>
          <w:szCs w:val="24"/>
        </w:rPr>
        <w:t>Dječje siromaštvo</w:t>
      </w:r>
    </w:p>
    <w:p w14:paraId="769BE265" w14:textId="77777777" w:rsidR="009E3BB8" w:rsidRPr="006C4249" w:rsidRDefault="009E3BB8" w:rsidP="00684ED9">
      <w:pPr>
        <w:pStyle w:val="ListParagraph"/>
        <w:numPr>
          <w:ilvl w:val="0"/>
          <w:numId w:val="44"/>
        </w:numPr>
        <w:spacing w:before="0" w:after="0" w:line="259" w:lineRule="auto"/>
        <w:rPr>
          <w:rFonts w:ascii="Times New Roman" w:hAnsi="Times New Roman" w:cs="Times New Roman"/>
          <w:sz w:val="24"/>
          <w:szCs w:val="24"/>
        </w:rPr>
      </w:pPr>
      <w:r w:rsidRPr="006C4249">
        <w:rPr>
          <w:rFonts w:ascii="Times New Roman" w:hAnsi="Times New Roman" w:cs="Times New Roman"/>
          <w:sz w:val="24"/>
          <w:szCs w:val="24"/>
        </w:rPr>
        <w:t>Socijalne inovacije</w:t>
      </w:r>
    </w:p>
    <w:p w14:paraId="6EB6A3D1" w14:textId="554946EF" w:rsidR="009E3BB8" w:rsidRPr="009E3BB8" w:rsidRDefault="009E3BB8" w:rsidP="00684ED9">
      <w:pPr>
        <w:numPr>
          <w:ilvl w:val="0"/>
          <w:numId w:val="39"/>
        </w:numPr>
        <w:spacing w:before="0" w:after="0"/>
        <w:contextualSpacing/>
        <w:jc w:val="both"/>
        <w:rPr>
          <w:rFonts w:ascii="Times New Roman" w:hAnsi="Times New Roman" w:cs="Times New Roman"/>
          <w:sz w:val="24"/>
          <w:szCs w:val="24"/>
          <w:lang w:eastAsia="hr-HR"/>
        </w:rPr>
      </w:pPr>
      <w:r w:rsidRPr="006C4249">
        <w:rPr>
          <w:rFonts w:ascii="Times New Roman" w:hAnsi="Times New Roman" w:cs="Times New Roman"/>
          <w:sz w:val="24"/>
          <w:szCs w:val="24"/>
        </w:rPr>
        <w:t>Materijalna deprivacija</w:t>
      </w:r>
    </w:p>
    <w:p w14:paraId="310F907A" w14:textId="77777777" w:rsidR="00887B69" w:rsidRPr="00C0186C" w:rsidRDefault="00887B69" w:rsidP="006829FA">
      <w:pPr>
        <w:spacing w:before="0" w:after="0"/>
        <w:jc w:val="both"/>
        <w:rPr>
          <w:rFonts w:ascii="Times New Roman" w:hAnsi="Times New Roman" w:cs="Times New Roman"/>
          <w:sz w:val="24"/>
          <w:szCs w:val="24"/>
          <w:lang w:eastAsia="hr-HR"/>
        </w:rPr>
      </w:pPr>
    </w:p>
    <w:p w14:paraId="3D265AEF" w14:textId="52210833" w:rsidR="00887B69" w:rsidRPr="00C0186C" w:rsidRDefault="004B27E2" w:rsidP="00B70EE8">
      <w:pPr>
        <w:spacing w:before="0"/>
        <w:jc w:val="both"/>
        <w:rPr>
          <w:rFonts w:ascii="Times New Roman" w:hAnsi="Times New Roman" w:cs="Times New Roman"/>
          <w:sz w:val="24"/>
          <w:szCs w:val="24"/>
          <w:lang w:eastAsia="hr-HR"/>
        </w:rPr>
      </w:pPr>
      <w:r>
        <w:rPr>
          <w:rFonts w:ascii="Times New Roman" w:hAnsi="Times New Roman" w:cs="Times New Roman"/>
          <w:sz w:val="24"/>
          <w:szCs w:val="24"/>
          <w:lang w:eastAsia="hr-HR"/>
        </w:rPr>
        <w:t>S</w:t>
      </w:r>
      <w:r w:rsidR="00887B69" w:rsidRPr="00C0186C">
        <w:rPr>
          <w:rFonts w:ascii="Times New Roman" w:hAnsi="Times New Roman" w:cs="Times New Roman"/>
          <w:sz w:val="24"/>
          <w:szCs w:val="24"/>
          <w:lang w:eastAsia="hr-HR"/>
        </w:rPr>
        <w:t>redstva će biti usmjeravana na:</w:t>
      </w:r>
    </w:p>
    <w:p w14:paraId="037B48A9" w14:textId="77777777" w:rsidR="00887B69" w:rsidRPr="00C0186C" w:rsidRDefault="00887B69" w:rsidP="00CA63B9">
      <w:pPr>
        <w:numPr>
          <w:ilvl w:val="0"/>
          <w:numId w:val="39"/>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veći pristup zaposlenju i aktivacijske mjere za sve tražitelje zaposlenja, posebice mlade</w:t>
      </w:r>
    </w:p>
    <w:p w14:paraId="2B9F39F6" w14:textId="77777777" w:rsidR="00887B69" w:rsidRPr="00C0186C" w:rsidRDefault="00887B69" w:rsidP="00CA63B9">
      <w:pPr>
        <w:numPr>
          <w:ilvl w:val="0"/>
          <w:numId w:val="39"/>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modernizaciju institucija i usluga tržišta rada </w:t>
      </w:r>
    </w:p>
    <w:p w14:paraId="2F8134C8" w14:textId="74553D8D" w:rsidR="00887B69" w:rsidRPr="00C0186C" w:rsidRDefault="00FC6F45" w:rsidP="00CA63B9">
      <w:pPr>
        <w:numPr>
          <w:ilvl w:val="0"/>
          <w:numId w:val="39"/>
        </w:numPr>
        <w:spacing w:before="0" w:after="0"/>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aktivno i zdravo starenje. Kao i zdravo i prilagođeno radno okružje </w:t>
      </w:r>
      <w:r w:rsidR="00887B69" w:rsidRPr="00C0186C">
        <w:rPr>
          <w:rFonts w:ascii="Times New Roman" w:hAnsi="Times New Roman" w:cs="Times New Roman"/>
          <w:sz w:val="24"/>
          <w:szCs w:val="24"/>
          <w:lang w:eastAsia="hr-HR"/>
        </w:rPr>
        <w:t xml:space="preserve">promicanje prilagodbe radnika, poduzeća i poduzetnika promjenama </w:t>
      </w:r>
    </w:p>
    <w:p w14:paraId="0AD2BBF8" w14:textId="77777777" w:rsidR="00887B69" w:rsidRPr="00C0186C" w:rsidRDefault="00887B69" w:rsidP="00CA63B9">
      <w:pPr>
        <w:numPr>
          <w:ilvl w:val="0"/>
          <w:numId w:val="39"/>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veća kvaliteta, </w:t>
      </w:r>
      <w:proofErr w:type="spellStart"/>
      <w:r w:rsidRPr="00C0186C">
        <w:rPr>
          <w:rFonts w:ascii="Times New Roman" w:hAnsi="Times New Roman" w:cs="Times New Roman"/>
          <w:sz w:val="24"/>
          <w:szCs w:val="24"/>
          <w:lang w:eastAsia="hr-HR"/>
        </w:rPr>
        <w:t>uključivost</w:t>
      </w:r>
      <w:proofErr w:type="spellEnd"/>
      <w:r w:rsidRPr="00C0186C">
        <w:rPr>
          <w:rFonts w:ascii="Times New Roman" w:hAnsi="Times New Roman" w:cs="Times New Roman"/>
          <w:sz w:val="24"/>
          <w:szCs w:val="24"/>
          <w:lang w:eastAsia="hr-HR"/>
        </w:rPr>
        <w:t xml:space="preserve"> i djelotvornost sustavâ obrazovanja </w:t>
      </w:r>
    </w:p>
    <w:p w14:paraId="5181CE5E" w14:textId="77777777" w:rsidR="00887B69" w:rsidRPr="00C0186C" w:rsidRDefault="00887B69" w:rsidP="00CA63B9">
      <w:pPr>
        <w:numPr>
          <w:ilvl w:val="0"/>
          <w:numId w:val="39"/>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promicanje jednakog pristupa kvalitetnom i </w:t>
      </w:r>
      <w:proofErr w:type="spellStart"/>
      <w:r w:rsidRPr="00C0186C">
        <w:rPr>
          <w:rFonts w:ascii="Times New Roman" w:hAnsi="Times New Roman" w:cs="Times New Roman"/>
          <w:sz w:val="24"/>
          <w:szCs w:val="24"/>
          <w:lang w:eastAsia="hr-HR"/>
        </w:rPr>
        <w:t>uključivom</w:t>
      </w:r>
      <w:proofErr w:type="spellEnd"/>
      <w:r w:rsidRPr="00C0186C">
        <w:rPr>
          <w:rFonts w:ascii="Times New Roman" w:hAnsi="Times New Roman" w:cs="Times New Roman"/>
          <w:sz w:val="24"/>
          <w:szCs w:val="24"/>
          <w:lang w:eastAsia="hr-HR"/>
        </w:rPr>
        <w:t xml:space="preserve"> obrazovanju i osposobljavanju </w:t>
      </w:r>
    </w:p>
    <w:p w14:paraId="7BD6CB9B" w14:textId="77777777" w:rsidR="00887B69" w:rsidRPr="00C0186C" w:rsidRDefault="00887B69" w:rsidP="00CA63B9">
      <w:pPr>
        <w:numPr>
          <w:ilvl w:val="0"/>
          <w:numId w:val="39"/>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promicanje cjeloživotnog učenja</w:t>
      </w:r>
    </w:p>
    <w:p w14:paraId="7A4DE2E1" w14:textId="77777777" w:rsidR="00887B69" w:rsidRPr="00C0186C" w:rsidRDefault="00887B69" w:rsidP="00CA63B9">
      <w:pPr>
        <w:numPr>
          <w:ilvl w:val="0"/>
          <w:numId w:val="39"/>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 xml:space="preserve">poticanje aktivnog uključivanja </w:t>
      </w:r>
    </w:p>
    <w:p w14:paraId="1905CF65" w14:textId="77777777" w:rsidR="00887B69" w:rsidRPr="00C0186C" w:rsidRDefault="00887B69" w:rsidP="00CA63B9">
      <w:pPr>
        <w:numPr>
          <w:ilvl w:val="0"/>
          <w:numId w:val="39"/>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promicanje socioekonomske integracije državljana trećih zemalja</w:t>
      </w:r>
      <w:r w:rsidRPr="00C0186C">
        <w:rPr>
          <w:rFonts w:ascii="Times New Roman" w:hAnsi="Times New Roman" w:cs="Times New Roman"/>
          <w:i/>
          <w:iCs/>
          <w:sz w:val="24"/>
          <w:szCs w:val="24"/>
          <w:lang w:eastAsia="hr-HR"/>
        </w:rPr>
        <w:t xml:space="preserve">, </w:t>
      </w:r>
      <w:r w:rsidRPr="00C0186C">
        <w:rPr>
          <w:rFonts w:ascii="Times New Roman" w:hAnsi="Times New Roman" w:cs="Times New Roman"/>
          <w:sz w:val="24"/>
          <w:szCs w:val="24"/>
          <w:lang w:eastAsia="hr-HR"/>
        </w:rPr>
        <w:t>uključujući migrante</w:t>
      </w:r>
    </w:p>
    <w:p w14:paraId="0EF220B3" w14:textId="77777777" w:rsidR="00887B69" w:rsidRPr="00C0186C" w:rsidRDefault="00887B69" w:rsidP="00CA63B9">
      <w:pPr>
        <w:numPr>
          <w:ilvl w:val="0"/>
          <w:numId w:val="39"/>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promicanje socioekonomske integracije marginaliziranih zajednica poput Roma</w:t>
      </w:r>
    </w:p>
    <w:p w14:paraId="79DD1FAE" w14:textId="77777777" w:rsidR="00887B69" w:rsidRPr="00C0186C" w:rsidRDefault="00887B69" w:rsidP="00CA63B9">
      <w:pPr>
        <w:numPr>
          <w:ilvl w:val="0"/>
          <w:numId w:val="39"/>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poboljšanje jednakog i pravodobnog pristupa kvalitetnim, održivim i cjenovno pristupačnim uslugama</w:t>
      </w:r>
    </w:p>
    <w:p w14:paraId="3315604E" w14:textId="77777777" w:rsidR="00887B69" w:rsidRPr="00C0186C" w:rsidRDefault="00887B69" w:rsidP="00CA63B9">
      <w:pPr>
        <w:numPr>
          <w:ilvl w:val="0"/>
          <w:numId w:val="39"/>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modernizaciju sustava socijalne zaštite i otpornosti sustavâ zdravstvene skrbi i usluga dugotrajne skrbi</w:t>
      </w:r>
    </w:p>
    <w:p w14:paraId="561C612F" w14:textId="77777777" w:rsidR="00887B69" w:rsidRPr="00C0186C" w:rsidRDefault="00887B69" w:rsidP="00CA63B9">
      <w:pPr>
        <w:numPr>
          <w:ilvl w:val="0"/>
          <w:numId w:val="39"/>
        </w:numPr>
        <w:spacing w:before="0" w:after="0"/>
        <w:contextualSpacing/>
        <w:jc w:val="both"/>
        <w:rPr>
          <w:rFonts w:ascii="Times New Roman" w:hAnsi="Times New Roman" w:cs="Times New Roman"/>
          <w:sz w:val="24"/>
          <w:szCs w:val="24"/>
          <w:lang w:eastAsia="hr-HR"/>
        </w:rPr>
      </w:pPr>
      <w:r w:rsidRPr="00C0186C">
        <w:rPr>
          <w:rFonts w:ascii="Times New Roman" w:hAnsi="Times New Roman" w:cs="Times New Roman"/>
          <w:sz w:val="24"/>
          <w:szCs w:val="24"/>
          <w:lang w:eastAsia="hr-HR"/>
        </w:rPr>
        <w:t>promicanje socijalne integracije osoba izloženih riziku od siromaštva ili socijalne isključenosti</w:t>
      </w:r>
    </w:p>
    <w:p w14:paraId="29BA04DA" w14:textId="5ED6460C" w:rsidR="003F5767" w:rsidRPr="00C0186C" w:rsidRDefault="003F5767" w:rsidP="00B70EE8">
      <w:pPr>
        <w:spacing w:before="0" w:after="0"/>
        <w:rPr>
          <w:rFonts w:ascii="Times New Roman" w:eastAsia="Calibri" w:hAnsi="Times New Roman" w:cs="Times New Roman"/>
          <w:b/>
          <w:bCs/>
          <w:sz w:val="24"/>
          <w:szCs w:val="24"/>
        </w:rPr>
      </w:pPr>
    </w:p>
    <w:p w14:paraId="5D4A32D8" w14:textId="77777777" w:rsidR="00887B69" w:rsidRPr="00C0186C" w:rsidRDefault="00887B69" w:rsidP="00B70EE8">
      <w:pPr>
        <w:spacing w:before="0" w:after="0"/>
        <w:rPr>
          <w:rFonts w:ascii="Times New Roman" w:eastAsia="Calibri" w:hAnsi="Times New Roman" w:cs="Times New Roman"/>
          <w:b/>
          <w:bCs/>
          <w:sz w:val="24"/>
          <w:szCs w:val="24"/>
        </w:rPr>
      </w:pPr>
    </w:p>
    <w:p w14:paraId="1C3D6133" w14:textId="3C524C6C" w:rsidR="0055318E" w:rsidRDefault="0055318E" w:rsidP="00B70EE8">
      <w:pPr>
        <w:spacing w:before="0" w:after="0"/>
        <w:rPr>
          <w:rFonts w:ascii="Times New Roman" w:eastAsia="Calibri" w:hAnsi="Times New Roman" w:cs="Times New Roman"/>
          <w:b/>
          <w:bCs/>
          <w:sz w:val="24"/>
          <w:szCs w:val="24"/>
        </w:rPr>
      </w:pPr>
    </w:p>
    <w:p w14:paraId="3C4A8F92" w14:textId="61CBB4D2" w:rsidR="00666FBC" w:rsidRDefault="00666FBC" w:rsidP="00B70EE8">
      <w:pPr>
        <w:spacing w:before="0" w:after="0"/>
        <w:rPr>
          <w:rFonts w:ascii="Times New Roman" w:eastAsia="Calibri" w:hAnsi="Times New Roman" w:cs="Times New Roman"/>
          <w:b/>
          <w:bCs/>
          <w:sz w:val="24"/>
          <w:szCs w:val="24"/>
        </w:rPr>
      </w:pPr>
    </w:p>
    <w:p w14:paraId="5EE4CB8E" w14:textId="0A61FCAD" w:rsidR="00B71103" w:rsidRDefault="00B71103" w:rsidP="00B70EE8">
      <w:pPr>
        <w:spacing w:before="0" w:after="0"/>
        <w:rPr>
          <w:rFonts w:ascii="Times New Roman" w:eastAsia="Calibri" w:hAnsi="Times New Roman" w:cs="Times New Roman"/>
          <w:b/>
          <w:bCs/>
          <w:sz w:val="24"/>
          <w:szCs w:val="24"/>
        </w:rPr>
      </w:pPr>
    </w:p>
    <w:p w14:paraId="6C273683" w14:textId="77777777" w:rsidR="00B71103" w:rsidRDefault="00B71103" w:rsidP="00B70EE8">
      <w:pPr>
        <w:spacing w:before="0" w:after="0"/>
        <w:rPr>
          <w:rFonts w:ascii="Times New Roman" w:eastAsia="Calibri" w:hAnsi="Times New Roman" w:cs="Times New Roman"/>
          <w:b/>
          <w:bCs/>
          <w:sz w:val="24"/>
          <w:szCs w:val="24"/>
        </w:rPr>
      </w:pPr>
    </w:p>
    <w:p w14:paraId="29D06762" w14:textId="016E466C" w:rsidR="006829FA" w:rsidRDefault="006829FA" w:rsidP="00B70EE8">
      <w:pPr>
        <w:spacing w:before="0" w:after="0"/>
        <w:rPr>
          <w:rFonts w:ascii="Times New Roman" w:eastAsia="Calibri" w:hAnsi="Times New Roman" w:cs="Times New Roman"/>
          <w:b/>
          <w:bCs/>
          <w:sz w:val="24"/>
          <w:szCs w:val="24"/>
        </w:rPr>
      </w:pPr>
    </w:p>
    <w:p w14:paraId="7E904ED5" w14:textId="012D4B07" w:rsidR="00A4421B" w:rsidRDefault="00A4421B" w:rsidP="00B70EE8">
      <w:pPr>
        <w:spacing w:before="0" w:after="0"/>
        <w:rPr>
          <w:rFonts w:ascii="Times New Roman" w:eastAsia="Calibri" w:hAnsi="Times New Roman" w:cs="Times New Roman"/>
          <w:b/>
          <w:bCs/>
          <w:sz w:val="24"/>
          <w:szCs w:val="24"/>
        </w:rPr>
      </w:pPr>
    </w:p>
    <w:p w14:paraId="41A3FE1F" w14:textId="77777777" w:rsidR="00A4421B" w:rsidRPr="00C0186C" w:rsidRDefault="00A4421B" w:rsidP="00B70EE8">
      <w:pPr>
        <w:spacing w:before="0" w:after="0"/>
        <w:rPr>
          <w:rFonts w:ascii="Times New Roman" w:eastAsia="Calibri" w:hAnsi="Times New Roman" w:cs="Times New Roman"/>
          <w:b/>
          <w:bCs/>
          <w:sz w:val="24"/>
          <w:szCs w:val="24"/>
        </w:rPr>
      </w:pPr>
    </w:p>
    <w:p w14:paraId="79C6A93B" w14:textId="5DF58577" w:rsidR="001653B7" w:rsidRPr="00816ADC" w:rsidRDefault="00181281" w:rsidP="00CA63B9">
      <w:pPr>
        <w:pStyle w:val="Heading1"/>
        <w:numPr>
          <w:ilvl w:val="0"/>
          <w:numId w:val="43"/>
        </w:numPr>
        <w:shd w:val="clear" w:color="auto" w:fill="DEEAF6" w:themeFill="accent1" w:themeFillTint="33"/>
        <w:spacing w:before="0"/>
        <w:rPr>
          <w:rFonts w:ascii="Times New Roman" w:eastAsia="Calibri" w:hAnsi="Times New Roman" w:cs="Times New Roman"/>
          <w:b/>
          <w:bCs/>
          <w:color w:val="auto"/>
          <w:sz w:val="28"/>
          <w:szCs w:val="28"/>
        </w:rPr>
      </w:pPr>
      <w:r w:rsidRPr="00C0186C">
        <w:rPr>
          <w:rFonts w:ascii="Times New Roman" w:eastAsia="Calibri" w:hAnsi="Times New Roman" w:cs="Times New Roman"/>
          <w:b/>
          <w:bCs/>
          <w:color w:val="auto"/>
          <w:sz w:val="28"/>
          <w:szCs w:val="28"/>
        </w:rPr>
        <w:t xml:space="preserve"> </w:t>
      </w:r>
      <w:bookmarkStart w:id="36" w:name="_Toc95891870"/>
      <w:r w:rsidR="001653B7" w:rsidRPr="00C0186C">
        <w:rPr>
          <w:rFonts w:ascii="Times New Roman" w:eastAsia="Calibri" w:hAnsi="Times New Roman" w:cs="Times New Roman"/>
          <w:b/>
          <w:bCs/>
          <w:color w:val="auto"/>
          <w:sz w:val="28"/>
          <w:szCs w:val="28"/>
        </w:rPr>
        <w:t>PRAĆENJE I VREDNOVANJE PROVEDBE PROGRAMA</w:t>
      </w:r>
      <w:bookmarkEnd w:id="36"/>
    </w:p>
    <w:p w14:paraId="5557361E" w14:textId="77777777" w:rsidR="003F5767" w:rsidRPr="00C0186C" w:rsidRDefault="003F5767" w:rsidP="00B70EE8">
      <w:pPr>
        <w:spacing w:before="0" w:after="0"/>
        <w:rPr>
          <w:rFonts w:ascii="Times New Roman" w:eastAsia="Calibri" w:hAnsi="Times New Roman" w:cs="Times New Roman"/>
          <w:b/>
          <w:bCs/>
          <w:sz w:val="24"/>
          <w:szCs w:val="24"/>
        </w:rPr>
      </w:pPr>
    </w:p>
    <w:p w14:paraId="0DC3F624" w14:textId="77777777" w:rsidR="001653B7" w:rsidRPr="00C0186C" w:rsidRDefault="001653B7" w:rsidP="00B70EE8">
      <w:pPr>
        <w:spacing w:before="0" w:after="0"/>
        <w:jc w:val="both"/>
        <w:rPr>
          <w:rFonts w:ascii="Times New Roman" w:eastAsia="Calibri" w:hAnsi="Times New Roman" w:cs="Times New Roman"/>
          <w:sz w:val="24"/>
          <w:szCs w:val="24"/>
        </w:rPr>
      </w:pPr>
      <w:r w:rsidRPr="00C0186C">
        <w:rPr>
          <w:rFonts w:ascii="Times New Roman" w:eastAsia="Calibri" w:hAnsi="Times New Roman" w:cs="Times New Roman"/>
          <w:sz w:val="24"/>
          <w:szCs w:val="24"/>
        </w:rPr>
        <w:t>Uspješnost provođenja Programa poticanja razvoja</w:t>
      </w:r>
      <w:r w:rsidR="006323A6" w:rsidRPr="00C0186C">
        <w:rPr>
          <w:rFonts w:ascii="Times New Roman" w:eastAsia="Calibri" w:hAnsi="Times New Roman" w:cs="Times New Roman"/>
          <w:sz w:val="24"/>
          <w:szCs w:val="24"/>
        </w:rPr>
        <w:t xml:space="preserve"> </w:t>
      </w:r>
      <w:r w:rsidRPr="00C0186C">
        <w:rPr>
          <w:rFonts w:ascii="Times New Roman" w:eastAsia="Calibri" w:hAnsi="Times New Roman" w:cs="Times New Roman"/>
          <w:sz w:val="24"/>
          <w:szCs w:val="24"/>
        </w:rPr>
        <w:t>PP</w:t>
      </w:r>
      <w:r w:rsidR="005B2A5E" w:rsidRPr="00C0186C">
        <w:rPr>
          <w:rFonts w:ascii="Times New Roman" w:eastAsia="Calibri" w:hAnsi="Times New Roman" w:cs="Times New Roman"/>
          <w:sz w:val="24"/>
          <w:szCs w:val="24"/>
        </w:rPr>
        <w:t>-a</w:t>
      </w:r>
      <w:r w:rsidR="006323A6" w:rsidRPr="00C0186C">
        <w:rPr>
          <w:rFonts w:ascii="Times New Roman" w:eastAsia="Calibri" w:hAnsi="Times New Roman" w:cs="Times New Roman"/>
          <w:sz w:val="24"/>
          <w:szCs w:val="24"/>
        </w:rPr>
        <w:t xml:space="preserve"> </w:t>
      </w:r>
      <w:r w:rsidRPr="00C0186C">
        <w:rPr>
          <w:rFonts w:ascii="Times New Roman" w:eastAsia="Calibri" w:hAnsi="Times New Roman" w:cs="Times New Roman"/>
          <w:sz w:val="24"/>
          <w:szCs w:val="24"/>
        </w:rPr>
        <w:t xml:space="preserve">u četverogodišnjem programskom razdoblju </w:t>
      </w:r>
      <w:r w:rsidR="00006BCC" w:rsidRPr="00C0186C">
        <w:rPr>
          <w:rFonts w:ascii="Times New Roman" w:eastAsia="Calibri" w:hAnsi="Times New Roman" w:cs="Times New Roman"/>
          <w:sz w:val="24"/>
          <w:szCs w:val="24"/>
        </w:rPr>
        <w:t xml:space="preserve">MRRFEU pratit će </w:t>
      </w:r>
      <w:r w:rsidRPr="00C0186C">
        <w:rPr>
          <w:rFonts w:ascii="Times New Roman" w:eastAsia="Calibri" w:hAnsi="Times New Roman" w:cs="Times New Roman"/>
          <w:sz w:val="24"/>
          <w:szCs w:val="24"/>
        </w:rPr>
        <w:t>na osnovu uspostave adekvatnog sustava pokazatelja. Predloženim pokazateljima vrednovat će se ostvareni učinci postavljenih ciljeva</w:t>
      </w:r>
      <w:r w:rsidR="006323A6" w:rsidRPr="00C0186C">
        <w:rPr>
          <w:rFonts w:ascii="Times New Roman" w:eastAsia="Calibri" w:hAnsi="Times New Roman" w:cs="Times New Roman"/>
          <w:sz w:val="24"/>
          <w:szCs w:val="24"/>
        </w:rPr>
        <w:t xml:space="preserve"> </w:t>
      </w:r>
      <w:r w:rsidRPr="00C0186C">
        <w:rPr>
          <w:rFonts w:ascii="Times New Roman" w:eastAsia="Calibri" w:hAnsi="Times New Roman" w:cs="Times New Roman"/>
          <w:sz w:val="24"/>
          <w:szCs w:val="24"/>
        </w:rPr>
        <w:t>te ishodi svake mjere.</w:t>
      </w:r>
    </w:p>
    <w:p w14:paraId="31C6835E" w14:textId="77777777" w:rsidR="001653B7" w:rsidRPr="00C0186C" w:rsidRDefault="001653B7" w:rsidP="00B70EE8">
      <w:pPr>
        <w:spacing w:before="0" w:after="0"/>
        <w:rPr>
          <w:rFonts w:ascii="Times New Roman" w:eastAsia="Calibri" w:hAnsi="Times New Roman" w:cs="Times New Roman"/>
          <w:b/>
          <w:bCs/>
          <w:sz w:val="24"/>
          <w:szCs w:val="24"/>
        </w:rPr>
      </w:pPr>
      <w:bookmarkStart w:id="37" w:name="_Hlk25487662"/>
    </w:p>
    <w:p w14:paraId="27AA8125" w14:textId="77777777" w:rsidR="001653B7" w:rsidRPr="00C0186C" w:rsidRDefault="001653B7" w:rsidP="00816ADC">
      <w:pPr>
        <w:spacing w:before="0" w:after="0"/>
        <w:jc w:val="both"/>
        <w:rPr>
          <w:rFonts w:ascii="Times New Roman" w:eastAsia="Calibri" w:hAnsi="Times New Roman" w:cs="Times New Roman"/>
          <w:sz w:val="24"/>
          <w:szCs w:val="24"/>
        </w:rPr>
      </w:pPr>
      <w:r w:rsidRPr="00C0186C">
        <w:rPr>
          <w:rFonts w:ascii="Times New Roman" w:eastAsia="Calibri" w:hAnsi="Times New Roman" w:cs="Times New Roman"/>
          <w:b/>
          <w:bCs/>
          <w:sz w:val="24"/>
          <w:szCs w:val="24"/>
        </w:rPr>
        <w:t>Ta</w:t>
      </w:r>
      <w:r w:rsidR="00172FDD" w:rsidRPr="00C0186C">
        <w:rPr>
          <w:rFonts w:ascii="Times New Roman" w:eastAsia="Calibri" w:hAnsi="Times New Roman" w:cs="Times New Roman"/>
          <w:b/>
          <w:bCs/>
          <w:sz w:val="24"/>
          <w:szCs w:val="24"/>
        </w:rPr>
        <w:t>blica 7</w:t>
      </w:r>
      <w:r w:rsidRPr="00C0186C">
        <w:rPr>
          <w:rFonts w:ascii="Times New Roman" w:eastAsia="Calibri" w:hAnsi="Times New Roman" w:cs="Times New Roman"/>
          <w:b/>
          <w:bCs/>
          <w:sz w:val="24"/>
          <w:szCs w:val="24"/>
        </w:rPr>
        <w:t xml:space="preserve">. </w:t>
      </w:r>
      <w:r w:rsidRPr="00C0186C">
        <w:rPr>
          <w:rFonts w:ascii="Times New Roman" w:eastAsia="Calibri" w:hAnsi="Times New Roman" w:cs="Times New Roman"/>
          <w:sz w:val="24"/>
          <w:szCs w:val="24"/>
        </w:rPr>
        <w:t>Prijedlog pokazatelja za praćenje učinaka i ishoda ostvarenja cilja 1.</w:t>
      </w:r>
      <w:bookmarkEnd w:id="37"/>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15"/>
      </w:tblGrid>
      <w:tr w:rsidR="001653B7" w:rsidRPr="00C0186C" w14:paraId="733E16B9" w14:textId="77777777" w:rsidTr="00E4439F">
        <w:trPr>
          <w:trHeight w:val="300"/>
        </w:trPr>
        <w:tc>
          <w:tcPr>
            <w:tcW w:w="2547" w:type="dxa"/>
            <w:shd w:val="clear" w:color="auto" w:fill="5B9BD5" w:themeFill="accent1"/>
            <w:noWrap/>
            <w:vAlign w:val="center"/>
            <w:hideMark/>
          </w:tcPr>
          <w:p w14:paraId="532933AB" w14:textId="77777777" w:rsidR="001653B7" w:rsidRPr="00E4439F" w:rsidRDefault="001653B7" w:rsidP="00B70EE8">
            <w:pPr>
              <w:spacing w:before="0"/>
              <w:rPr>
                <w:rFonts w:ascii="Times New Roman" w:eastAsia="Calibri" w:hAnsi="Times New Roman" w:cs="Times New Roman"/>
                <w:b/>
                <w:bCs/>
                <w:color w:val="FFFFFF" w:themeColor="background1"/>
                <w:sz w:val="24"/>
                <w:szCs w:val="24"/>
              </w:rPr>
            </w:pPr>
            <w:bookmarkStart w:id="38" w:name="_Hlk27049559"/>
            <w:r w:rsidRPr="00E4439F">
              <w:rPr>
                <w:rFonts w:ascii="Times New Roman" w:eastAsia="Calibri" w:hAnsi="Times New Roman" w:cs="Times New Roman"/>
                <w:b/>
                <w:bCs/>
                <w:color w:val="FFFFFF" w:themeColor="background1"/>
                <w:sz w:val="24"/>
                <w:szCs w:val="24"/>
              </w:rPr>
              <w:t>CILJ 1.</w:t>
            </w:r>
          </w:p>
        </w:tc>
        <w:tc>
          <w:tcPr>
            <w:tcW w:w="7115" w:type="dxa"/>
            <w:shd w:val="clear" w:color="auto" w:fill="5B9BD5" w:themeFill="accent1"/>
            <w:noWrap/>
            <w:vAlign w:val="center"/>
            <w:hideMark/>
          </w:tcPr>
          <w:p w14:paraId="6EB00F0B" w14:textId="77777777" w:rsidR="001653B7" w:rsidRPr="00E4439F" w:rsidRDefault="001653B7" w:rsidP="00B70EE8">
            <w:pPr>
              <w:spacing w:before="0"/>
              <w:rPr>
                <w:rFonts w:ascii="Times New Roman" w:eastAsia="Calibri" w:hAnsi="Times New Roman" w:cs="Times New Roman"/>
                <w:b/>
                <w:bCs/>
                <w:color w:val="FFFFFF" w:themeColor="background1"/>
                <w:sz w:val="24"/>
                <w:szCs w:val="24"/>
              </w:rPr>
            </w:pPr>
            <w:r w:rsidRPr="00E4439F">
              <w:rPr>
                <w:rFonts w:ascii="Times New Roman" w:eastAsia="Calibri" w:hAnsi="Times New Roman" w:cs="Times New Roman"/>
                <w:b/>
                <w:bCs/>
                <w:color w:val="FFFFFF" w:themeColor="background1"/>
                <w:sz w:val="24"/>
                <w:szCs w:val="24"/>
              </w:rPr>
              <w:t xml:space="preserve">POVEĆANJE ZAPOSLENOSTI I DOHOTKA </w:t>
            </w:r>
          </w:p>
        </w:tc>
      </w:tr>
      <w:tr w:rsidR="001653B7" w:rsidRPr="00C0186C" w14:paraId="569C864F" w14:textId="77777777" w:rsidTr="00D32164">
        <w:trPr>
          <w:trHeight w:val="300"/>
        </w:trPr>
        <w:tc>
          <w:tcPr>
            <w:tcW w:w="2547" w:type="dxa"/>
            <w:shd w:val="clear" w:color="auto" w:fill="DEEAF6" w:themeFill="accent1" w:themeFillTint="33"/>
            <w:noWrap/>
            <w:vAlign w:val="center"/>
          </w:tcPr>
          <w:p w14:paraId="2FFAAF9E" w14:textId="77777777" w:rsidR="001653B7" w:rsidRPr="00C0186C" w:rsidRDefault="001653B7" w:rsidP="00B70EE8">
            <w:pPr>
              <w:spacing w:before="0"/>
              <w:rPr>
                <w:rFonts w:ascii="Times New Roman" w:eastAsia="Calibri" w:hAnsi="Times New Roman" w:cs="Times New Roman"/>
                <w:b/>
                <w:bCs/>
                <w:sz w:val="24"/>
                <w:szCs w:val="24"/>
              </w:rPr>
            </w:pPr>
            <w:bookmarkStart w:id="39" w:name="_Hlk26119824"/>
            <w:r w:rsidRPr="00C0186C">
              <w:rPr>
                <w:rFonts w:ascii="Times New Roman" w:eastAsia="Calibri" w:hAnsi="Times New Roman" w:cs="Times New Roman"/>
                <w:b/>
                <w:bCs/>
                <w:sz w:val="24"/>
                <w:szCs w:val="24"/>
              </w:rPr>
              <w:t>Pokazatelji učinka</w:t>
            </w:r>
          </w:p>
        </w:tc>
        <w:tc>
          <w:tcPr>
            <w:tcW w:w="7115" w:type="dxa"/>
            <w:shd w:val="clear" w:color="auto" w:fill="DEEAF6" w:themeFill="accent1" w:themeFillTint="33"/>
            <w:noWrap/>
            <w:vAlign w:val="center"/>
          </w:tcPr>
          <w:p w14:paraId="3F301657" w14:textId="77777777" w:rsidR="0058346D" w:rsidRPr="00C0186C" w:rsidRDefault="0058346D" w:rsidP="00B70EE8">
            <w:pPr>
              <w:pStyle w:val="ListParagraph"/>
              <w:numPr>
                <w:ilvl w:val="0"/>
                <w:numId w:val="24"/>
              </w:numPr>
              <w:spacing w:before="0"/>
              <w:rPr>
                <w:rFonts w:ascii="Times New Roman" w:eastAsia="Calibri" w:hAnsi="Times New Roman" w:cs="Times New Roman"/>
                <w:b/>
                <w:bCs/>
                <w:sz w:val="24"/>
                <w:szCs w:val="24"/>
              </w:rPr>
            </w:pPr>
            <w:r w:rsidRPr="00C0186C">
              <w:rPr>
                <w:rFonts w:ascii="Times New Roman" w:eastAsia="Calibri" w:hAnsi="Times New Roman" w:cs="Times New Roman"/>
                <w:b/>
                <w:bCs/>
                <w:sz w:val="24"/>
                <w:szCs w:val="24"/>
              </w:rPr>
              <w:t xml:space="preserve">Indeks razvijenosti </w:t>
            </w:r>
            <w:r w:rsidRPr="00C0186C">
              <w:rPr>
                <w:rFonts w:ascii="Times New Roman" w:eastAsia="Calibri" w:hAnsi="Times New Roman" w:cs="Times New Roman"/>
                <w:bCs/>
                <w:sz w:val="24"/>
                <w:szCs w:val="24"/>
              </w:rPr>
              <w:t>(Izvor: MRRFEU)</w:t>
            </w:r>
          </w:p>
          <w:p w14:paraId="32D5EE8F" w14:textId="6A19657E" w:rsidR="007F3BA8" w:rsidRDefault="0058346D" w:rsidP="00816ADC">
            <w:pPr>
              <w:spacing w:before="0" w:after="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xml:space="preserve">S obzirom da su izvršene analize gospodarskih, demografskih, fiskalnih i ekonomsko socijalnih kretanja ukazale na </w:t>
            </w:r>
            <w:r w:rsidR="00AA6C66" w:rsidRPr="00C0186C">
              <w:rPr>
                <w:rFonts w:ascii="Times New Roman" w:eastAsia="Calibri" w:hAnsi="Times New Roman" w:cs="Times New Roman"/>
                <w:bCs/>
                <w:sz w:val="24"/>
                <w:szCs w:val="24"/>
              </w:rPr>
              <w:t xml:space="preserve">posebno </w:t>
            </w:r>
            <w:r w:rsidRPr="00C0186C">
              <w:rPr>
                <w:rFonts w:ascii="Times New Roman" w:eastAsia="Calibri" w:hAnsi="Times New Roman" w:cs="Times New Roman"/>
                <w:bCs/>
                <w:sz w:val="24"/>
                <w:szCs w:val="24"/>
              </w:rPr>
              <w:t>visoku</w:t>
            </w:r>
            <w:r w:rsidR="00AA6C66" w:rsidRPr="00C0186C">
              <w:rPr>
                <w:rFonts w:ascii="Times New Roman" w:eastAsia="Calibri" w:hAnsi="Times New Roman" w:cs="Times New Roman"/>
                <w:bCs/>
                <w:sz w:val="24"/>
                <w:szCs w:val="24"/>
              </w:rPr>
              <w:t xml:space="preserve"> </w:t>
            </w:r>
            <w:r w:rsidRPr="00C0186C">
              <w:rPr>
                <w:rFonts w:ascii="Times New Roman" w:eastAsia="Calibri" w:hAnsi="Times New Roman" w:cs="Times New Roman"/>
                <w:bCs/>
                <w:sz w:val="24"/>
                <w:szCs w:val="24"/>
              </w:rPr>
              <w:t xml:space="preserve">povezanost </w:t>
            </w:r>
            <w:r w:rsidR="00AA6C66" w:rsidRPr="00C0186C">
              <w:rPr>
                <w:rFonts w:ascii="Times New Roman" w:eastAsia="Calibri" w:hAnsi="Times New Roman" w:cs="Times New Roman"/>
                <w:bCs/>
                <w:sz w:val="24"/>
                <w:szCs w:val="24"/>
              </w:rPr>
              <w:t>s kretanjem</w:t>
            </w:r>
            <w:r w:rsidRPr="00C0186C">
              <w:rPr>
                <w:rFonts w:ascii="Times New Roman" w:eastAsia="Calibri" w:hAnsi="Times New Roman" w:cs="Times New Roman"/>
                <w:bCs/>
                <w:sz w:val="24"/>
                <w:szCs w:val="24"/>
              </w:rPr>
              <w:t xml:space="preserve"> zaposlenosti, ali i razine dohotka lokalnog stanovništva</w:t>
            </w:r>
            <w:r w:rsidR="00AA6C66" w:rsidRPr="00C0186C">
              <w:rPr>
                <w:rFonts w:ascii="Times New Roman" w:eastAsia="Calibri" w:hAnsi="Times New Roman" w:cs="Times New Roman"/>
                <w:bCs/>
                <w:sz w:val="24"/>
                <w:szCs w:val="24"/>
              </w:rPr>
              <w:t>,</w:t>
            </w:r>
            <w:r w:rsidRPr="00C0186C">
              <w:rPr>
                <w:rFonts w:ascii="Times New Roman" w:eastAsia="Calibri" w:hAnsi="Times New Roman" w:cs="Times New Roman"/>
                <w:bCs/>
                <w:sz w:val="24"/>
                <w:szCs w:val="24"/>
              </w:rPr>
              <w:t xml:space="preserve"> može se ustvrditi da su upravo navedene varijable ključne za ostvarenje ukupnih razvojnih potencijala lokalnih zajednica. Stoga se nameće logičan izbor indeksa razvijenosti kao pokazatelja</w:t>
            </w:r>
            <w:r w:rsidR="007F3BA8" w:rsidRPr="00C0186C">
              <w:rPr>
                <w:rFonts w:ascii="Times New Roman" w:eastAsia="Calibri" w:hAnsi="Times New Roman" w:cs="Times New Roman"/>
                <w:bCs/>
                <w:sz w:val="24"/>
                <w:szCs w:val="24"/>
              </w:rPr>
              <w:t xml:space="preserve"> mjerenja učinka cilja 1.</w:t>
            </w:r>
          </w:p>
          <w:p w14:paraId="6B578EB4" w14:textId="77777777" w:rsidR="00816ADC" w:rsidRPr="00C0186C" w:rsidRDefault="00816ADC" w:rsidP="00816ADC">
            <w:pPr>
              <w:spacing w:before="0" w:after="0"/>
              <w:jc w:val="both"/>
              <w:rPr>
                <w:rFonts w:ascii="Times New Roman" w:eastAsia="Calibri" w:hAnsi="Times New Roman" w:cs="Times New Roman"/>
                <w:bCs/>
                <w:sz w:val="24"/>
                <w:szCs w:val="24"/>
              </w:rPr>
            </w:pPr>
          </w:p>
          <w:p w14:paraId="77641C3F" w14:textId="49682564" w:rsidR="001653B7" w:rsidRPr="00816ADC" w:rsidRDefault="0058346D" w:rsidP="00816ADC">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xml:space="preserve">Indeks razvijenosti izračunava se temeljem nekoliko komponenti demografskog, ekonomskog, socijalnog i fiskalnog kretanja, a kako je zaposlenost ključna za pozitivne pomake u svim navedenim segmentima, indeks razvijenosti može kvalitetno prezentirati  postignute učinke, kako na razini svih </w:t>
            </w:r>
            <w:r w:rsidR="007038CF" w:rsidRPr="00C0186C">
              <w:rPr>
                <w:rFonts w:ascii="Times New Roman" w:eastAsia="Calibri" w:hAnsi="Times New Roman" w:cs="Times New Roman"/>
                <w:bCs/>
                <w:sz w:val="24"/>
                <w:szCs w:val="24"/>
              </w:rPr>
              <w:t>JLS</w:t>
            </w:r>
            <w:r w:rsidR="005B2A5E" w:rsidRPr="00C0186C">
              <w:rPr>
                <w:rFonts w:ascii="Times New Roman" w:eastAsia="Calibri" w:hAnsi="Times New Roman" w:cs="Times New Roman"/>
                <w:bCs/>
                <w:sz w:val="24"/>
                <w:szCs w:val="24"/>
              </w:rPr>
              <w:t>-ova</w:t>
            </w:r>
            <w:r w:rsidRPr="00C0186C">
              <w:rPr>
                <w:rFonts w:ascii="Times New Roman" w:eastAsia="Calibri" w:hAnsi="Times New Roman" w:cs="Times New Roman"/>
                <w:bCs/>
                <w:sz w:val="24"/>
                <w:szCs w:val="24"/>
              </w:rPr>
              <w:t xml:space="preserve"> sa statusom PP</w:t>
            </w:r>
            <w:r w:rsidR="005B2A5E" w:rsidRPr="00C0186C">
              <w:rPr>
                <w:rFonts w:ascii="Times New Roman" w:eastAsia="Calibri" w:hAnsi="Times New Roman" w:cs="Times New Roman"/>
                <w:bCs/>
                <w:sz w:val="24"/>
                <w:szCs w:val="24"/>
              </w:rPr>
              <w:t>-a</w:t>
            </w:r>
            <w:r w:rsidRPr="00C0186C">
              <w:rPr>
                <w:rFonts w:ascii="Times New Roman" w:eastAsia="Calibri" w:hAnsi="Times New Roman" w:cs="Times New Roman"/>
                <w:bCs/>
                <w:sz w:val="24"/>
                <w:szCs w:val="24"/>
              </w:rPr>
              <w:t xml:space="preserve"> u odnosu na nacionalne vrijednosti, tako i na razini pojedinih gradova i općina. U analitičkom smislu, osim praćenja vrijednosti indeksa razvijenosti u programskom razdoblju, potrebno je vrednovati i stupanj razvojnih disproporcija temeljem istog pokazatelja. Naime, svrha ovog kao i ostalih razvojnih programa koji se odnose na pojedina specifična područja RH, je smanjenje regionalnih nejednakosti. Indeks razvijenosti računa se i prati od strane MRRFEU</w:t>
            </w:r>
            <w:r w:rsidR="005B2A5E" w:rsidRPr="00C0186C">
              <w:rPr>
                <w:rFonts w:ascii="Times New Roman" w:eastAsia="Calibri" w:hAnsi="Times New Roman" w:cs="Times New Roman"/>
                <w:bCs/>
                <w:sz w:val="24"/>
                <w:szCs w:val="24"/>
              </w:rPr>
              <w:t>-a</w:t>
            </w:r>
            <w:r w:rsidRPr="00C0186C">
              <w:rPr>
                <w:rFonts w:ascii="Times New Roman" w:eastAsia="Calibri" w:hAnsi="Times New Roman" w:cs="Times New Roman"/>
                <w:bCs/>
                <w:sz w:val="24"/>
                <w:szCs w:val="24"/>
              </w:rPr>
              <w:t xml:space="preserve"> na godišnjoj razini.</w:t>
            </w:r>
          </w:p>
        </w:tc>
      </w:tr>
      <w:bookmarkEnd w:id="39"/>
      <w:tr w:rsidR="00FE7885" w:rsidRPr="00C0186C" w14:paraId="0F32E471" w14:textId="77777777" w:rsidTr="00D32164">
        <w:trPr>
          <w:trHeight w:val="300"/>
        </w:trPr>
        <w:tc>
          <w:tcPr>
            <w:tcW w:w="2547" w:type="dxa"/>
            <w:shd w:val="clear" w:color="auto" w:fill="DEEAF6" w:themeFill="accent1" w:themeFillTint="33"/>
            <w:noWrap/>
            <w:vAlign w:val="center"/>
          </w:tcPr>
          <w:p w14:paraId="4DD9746B" w14:textId="77777777" w:rsidR="001653B7" w:rsidRPr="00C0186C" w:rsidRDefault="001653B7" w:rsidP="00B70EE8">
            <w:pPr>
              <w:spacing w:before="0"/>
              <w:rPr>
                <w:rFonts w:ascii="Times New Roman" w:eastAsia="Calibri" w:hAnsi="Times New Roman" w:cs="Times New Roman"/>
                <w:b/>
                <w:bCs/>
                <w:sz w:val="24"/>
                <w:szCs w:val="24"/>
              </w:rPr>
            </w:pPr>
            <w:r w:rsidRPr="00C0186C">
              <w:rPr>
                <w:rFonts w:ascii="Times New Roman" w:eastAsia="Calibri" w:hAnsi="Times New Roman" w:cs="Times New Roman"/>
                <w:b/>
                <w:bCs/>
                <w:sz w:val="24"/>
                <w:szCs w:val="24"/>
              </w:rPr>
              <w:t xml:space="preserve">Pokazatelji ishoda </w:t>
            </w:r>
          </w:p>
        </w:tc>
        <w:tc>
          <w:tcPr>
            <w:tcW w:w="7115" w:type="dxa"/>
            <w:shd w:val="clear" w:color="auto" w:fill="DEEAF6" w:themeFill="accent1" w:themeFillTint="33"/>
            <w:noWrap/>
            <w:vAlign w:val="center"/>
          </w:tcPr>
          <w:p w14:paraId="2A54000B" w14:textId="77777777" w:rsidR="0058346D" w:rsidRPr="00C0186C" w:rsidRDefault="00B46C52"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S obzirom na kompleksnost te međusobnu povezanost definiranih mjera u okviru cilja 1., u svrhu cjelovitog praćenja ostvarenja njegovih predviđenih ishoda p</w:t>
            </w:r>
            <w:r w:rsidR="0058346D" w:rsidRPr="00C0186C">
              <w:rPr>
                <w:rFonts w:ascii="Times New Roman" w:eastAsia="Calibri" w:hAnsi="Times New Roman" w:cs="Times New Roman"/>
                <w:bCs/>
                <w:sz w:val="24"/>
                <w:szCs w:val="24"/>
              </w:rPr>
              <w:t xml:space="preserve">redlažu se </w:t>
            </w:r>
            <w:r w:rsidRPr="00C0186C">
              <w:rPr>
                <w:rFonts w:ascii="Times New Roman" w:eastAsia="Calibri" w:hAnsi="Times New Roman" w:cs="Times New Roman"/>
                <w:bCs/>
                <w:sz w:val="24"/>
                <w:szCs w:val="24"/>
              </w:rPr>
              <w:t>sljedeć</w:t>
            </w:r>
            <w:r w:rsidR="005B2A5E" w:rsidRPr="00C0186C">
              <w:rPr>
                <w:rFonts w:ascii="Times New Roman" w:eastAsia="Calibri" w:hAnsi="Times New Roman" w:cs="Times New Roman"/>
                <w:bCs/>
                <w:sz w:val="24"/>
                <w:szCs w:val="24"/>
              </w:rPr>
              <w:t>e</w:t>
            </w:r>
            <w:r w:rsidRPr="00C0186C">
              <w:rPr>
                <w:rFonts w:ascii="Times New Roman" w:eastAsia="Calibri" w:hAnsi="Times New Roman" w:cs="Times New Roman"/>
                <w:bCs/>
                <w:sz w:val="24"/>
                <w:szCs w:val="24"/>
              </w:rPr>
              <w:t xml:space="preserve"> </w:t>
            </w:r>
            <w:r w:rsidR="0058346D" w:rsidRPr="00C0186C">
              <w:rPr>
                <w:rFonts w:ascii="Times New Roman" w:eastAsia="Calibri" w:hAnsi="Times New Roman" w:cs="Times New Roman"/>
                <w:bCs/>
                <w:sz w:val="24"/>
                <w:szCs w:val="24"/>
              </w:rPr>
              <w:t>tri sintetičk</w:t>
            </w:r>
            <w:r w:rsidR="005B2A5E" w:rsidRPr="00C0186C">
              <w:rPr>
                <w:rFonts w:ascii="Times New Roman" w:eastAsia="Calibri" w:hAnsi="Times New Roman" w:cs="Times New Roman"/>
                <w:bCs/>
                <w:sz w:val="24"/>
                <w:szCs w:val="24"/>
              </w:rPr>
              <w:t>e</w:t>
            </w:r>
            <w:r w:rsidR="0058346D" w:rsidRPr="00C0186C">
              <w:rPr>
                <w:rFonts w:ascii="Times New Roman" w:eastAsia="Calibri" w:hAnsi="Times New Roman" w:cs="Times New Roman"/>
                <w:bCs/>
                <w:sz w:val="24"/>
                <w:szCs w:val="24"/>
              </w:rPr>
              <w:t xml:space="preserve"> </w:t>
            </w:r>
            <w:r w:rsidRPr="00C0186C">
              <w:rPr>
                <w:rFonts w:ascii="Times New Roman" w:eastAsia="Calibri" w:hAnsi="Times New Roman" w:cs="Times New Roman"/>
                <w:bCs/>
                <w:sz w:val="24"/>
                <w:szCs w:val="24"/>
              </w:rPr>
              <w:t xml:space="preserve">grupe </w:t>
            </w:r>
            <w:r w:rsidR="0058346D" w:rsidRPr="00C0186C">
              <w:rPr>
                <w:rFonts w:ascii="Times New Roman" w:eastAsia="Calibri" w:hAnsi="Times New Roman" w:cs="Times New Roman"/>
                <w:bCs/>
                <w:sz w:val="24"/>
                <w:szCs w:val="24"/>
              </w:rPr>
              <w:t>pokazatelja</w:t>
            </w:r>
            <w:r w:rsidRPr="00C0186C">
              <w:rPr>
                <w:rFonts w:ascii="Times New Roman" w:eastAsia="Calibri" w:hAnsi="Times New Roman" w:cs="Times New Roman"/>
                <w:bCs/>
                <w:sz w:val="24"/>
                <w:szCs w:val="24"/>
              </w:rPr>
              <w:t>:</w:t>
            </w:r>
          </w:p>
          <w:p w14:paraId="7392714C" w14:textId="77777777" w:rsidR="0058346D" w:rsidRPr="00C0186C" w:rsidRDefault="00B46C52" w:rsidP="00B70EE8">
            <w:pPr>
              <w:spacing w:before="0"/>
              <w:jc w:val="both"/>
              <w:rPr>
                <w:rFonts w:ascii="Times New Roman" w:eastAsia="Calibri" w:hAnsi="Times New Roman" w:cs="Times New Roman"/>
                <w:b/>
                <w:bCs/>
                <w:sz w:val="24"/>
                <w:szCs w:val="24"/>
              </w:rPr>
            </w:pPr>
            <w:r w:rsidRPr="00C0186C">
              <w:rPr>
                <w:rFonts w:ascii="Times New Roman" w:eastAsia="Calibri" w:hAnsi="Times New Roman" w:cs="Times New Roman"/>
                <w:b/>
                <w:bCs/>
                <w:sz w:val="24"/>
                <w:szCs w:val="24"/>
              </w:rPr>
              <w:t>1. Opći</w:t>
            </w:r>
            <w:r w:rsidR="0058346D" w:rsidRPr="00C0186C">
              <w:rPr>
                <w:rFonts w:ascii="Times New Roman" w:eastAsia="Calibri" w:hAnsi="Times New Roman" w:cs="Times New Roman"/>
                <w:b/>
                <w:bCs/>
                <w:sz w:val="24"/>
                <w:szCs w:val="24"/>
              </w:rPr>
              <w:t xml:space="preserve"> gospodarsk</w:t>
            </w:r>
            <w:r w:rsidR="005B2A5E" w:rsidRPr="00C0186C">
              <w:rPr>
                <w:rFonts w:ascii="Times New Roman" w:eastAsia="Calibri" w:hAnsi="Times New Roman" w:cs="Times New Roman"/>
                <w:b/>
                <w:bCs/>
                <w:sz w:val="24"/>
                <w:szCs w:val="24"/>
              </w:rPr>
              <w:t>i</w:t>
            </w:r>
            <w:r w:rsidR="0058346D" w:rsidRPr="00C0186C">
              <w:rPr>
                <w:rFonts w:ascii="Times New Roman" w:eastAsia="Calibri" w:hAnsi="Times New Roman" w:cs="Times New Roman"/>
                <w:b/>
                <w:bCs/>
                <w:sz w:val="24"/>
                <w:szCs w:val="24"/>
              </w:rPr>
              <w:t xml:space="preserve"> kapacitet PP</w:t>
            </w:r>
            <w:r w:rsidR="005B2A5E" w:rsidRPr="00C0186C">
              <w:rPr>
                <w:rFonts w:ascii="Times New Roman" w:eastAsia="Calibri" w:hAnsi="Times New Roman" w:cs="Times New Roman"/>
                <w:b/>
                <w:bCs/>
                <w:sz w:val="24"/>
                <w:szCs w:val="24"/>
              </w:rPr>
              <w:t>-a</w:t>
            </w:r>
          </w:p>
          <w:p w14:paraId="54115F81" w14:textId="77777777" w:rsidR="0058346D" w:rsidRPr="00C0186C" w:rsidRDefault="00B46C52" w:rsidP="00B70EE8">
            <w:pPr>
              <w:spacing w:before="0"/>
              <w:jc w:val="both"/>
              <w:rPr>
                <w:rFonts w:ascii="Times New Roman" w:eastAsia="Calibri" w:hAnsi="Times New Roman" w:cs="Times New Roman"/>
                <w:b/>
                <w:bCs/>
                <w:sz w:val="24"/>
                <w:szCs w:val="24"/>
              </w:rPr>
            </w:pPr>
            <w:r w:rsidRPr="00C0186C">
              <w:rPr>
                <w:rFonts w:ascii="Times New Roman" w:eastAsia="Calibri" w:hAnsi="Times New Roman" w:cs="Times New Roman"/>
                <w:b/>
                <w:bCs/>
                <w:sz w:val="24"/>
                <w:szCs w:val="24"/>
              </w:rPr>
              <w:t>2. Dostignuta razina</w:t>
            </w:r>
            <w:r w:rsidR="0058346D" w:rsidRPr="00C0186C">
              <w:rPr>
                <w:rFonts w:ascii="Times New Roman" w:eastAsia="Calibri" w:hAnsi="Times New Roman" w:cs="Times New Roman"/>
                <w:b/>
                <w:bCs/>
                <w:sz w:val="24"/>
                <w:szCs w:val="24"/>
              </w:rPr>
              <w:t xml:space="preserve"> ljudskog kapitala na PP</w:t>
            </w:r>
            <w:r w:rsidR="005B2A5E" w:rsidRPr="00C0186C">
              <w:rPr>
                <w:rFonts w:ascii="Times New Roman" w:eastAsia="Calibri" w:hAnsi="Times New Roman" w:cs="Times New Roman"/>
                <w:b/>
                <w:bCs/>
                <w:sz w:val="24"/>
                <w:szCs w:val="24"/>
              </w:rPr>
              <w:t>-u</w:t>
            </w:r>
          </w:p>
          <w:p w14:paraId="3989AB1C" w14:textId="77777777" w:rsidR="0058346D" w:rsidRPr="00C0186C" w:rsidRDefault="00B46C52" w:rsidP="00B70EE8">
            <w:pPr>
              <w:spacing w:before="0"/>
              <w:jc w:val="both"/>
              <w:rPr>
                <w:rFonts w:ascii="Times New Roman" w:eastAsia="Calibri" w:hAnsi="Times New Roman" w:cs="Times New Roman"/>
                <w:b/>
                <w:bCs/>
                <w:sz w:val="24"/>
                <w:szCs w:val="24"/>
              </w:rPr>
            </w:pPr>
            <w:r w:rsidRPr="00C0186C">
              <w:rPr>
                <w:rFonts w:ascii="Times New Roman" w:eastAsia="Calibri" w:hAnsi="Times New Roman" w:cs="Times New Roman"/>
                <w:b/>
                <w:bCs/>
                <w:sz w:val="24"/>
                <w:szCs w:val="24"/>
              </w:rPr>
              <w:t xml:space="preserve">3. Kvaliteta djelovanja </w:t>
            </w:r>
            <w:r w:rsidR="0058346D" w:rsidRPr="00C0186C">
              <w:rPr>
                <w:rFonts w:ascii="Times New Roman" w:eastAsia="Calibri" w:hAnsi="Times New Roman" w:cs="Times New Roman"/>
                <w:b/>
                <w:bCs/>
                <w:sz w:val="24"/>
                <w:szCs w:val="24"/>
              </w:rPr>
              <w:t>lokalnog javnog sektora na PP</w:t>
            </w:r>
            <w:r w:rsidR="005B2A5E" w:rsidRPr="00C0186C">
              <w:rPr>
                <w:rFonts w:ascii="Times New Roman" w:eastAsia="Calibri" w:hAnsi="Times New Roman" w:cs="Times New Roman"/>
                <w:b/>
                <w:bCs/>
                <w:sz w:val="24"/>
                <w:szCs w:val="24"/>
              </w:rPr>
              <w:t>-u</w:t>
            </w:r>
          </w:p>
          <w:p w14:paraId="71762371" w14:textId="77777777" w:rsidR="0058346D" w:rsidRPr="00C0186C" w:rsidRDefault="00B46C52"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
                <w:bCs/>
                <w:sz w:val="24"/>
                <w:szCs w:val="24"/>
              </w:rPr>
              <w:t>Povećanje općeg</w:t>
            </w:r>
            <w:r w:rsidR="0058346D" w:rsidRPr="00C0186C">
              <w:rPr>
                <w:rFonts w:ascii="Times New Roman" w:eastAsia="Calibri" w:hAnsi="Times New Roman" w:cs="Times New Roman"/>
                <w:b/>
                <w:bCs/>
                <w:sz w:val="24"/>
                <w:szCs w:val="24"/>
              </w:rPr>
              <w:t xml:space="preserve"> gospodarskog kapaciteta</w:t>
            </w:r>
            <w:r w:rsidR="0058346D" w:rsidRPr="00C0186C">
              <w:rPr>
                <w:rFonts w:ascii="Times New Roman" w:eastAsia="Calibri" w:hAnsi="Times New Roman" w:cs="Times New Roman"/>
                <w:bCs/>
                <w:sz w:val="24"/>
                <w:szCs w:val="24"/>
              </w:rPr>
              <w:t xml:space="preserve"> izravno se odnosi na ostvarenje cilja povećanja zaposlenosti i dohotka</w:t>
            </w:r>
            <w:r w:rsidR="007F3BA8" w:rsidRPr="00C0186C">
              <w:rPr>
                <w:rFonts w:ascii="Times New Roman" w:eastAsia="Calibri" w:hAnsi="Times New Roman" w:cs="Times New Roman"/>
                <w:bCs/>
                <w:sz w:val="24"/>
                <w:szCs w:val="24"/>
              </w:rPr>
              <w:t>, te ukazuje na kvalitetu</w:t>
            </w:r>
            <w:r w:rsidR="0058346D" w:rsidRPr="00C0186C">
              <w:rPr>
                <w:rFonts w:ascii="Times New Roman" w:eastAsia="Calibri" w:hAnsi="Times New Roman" w:cs="Times New Roman"/>
                <w:bCs/>
                <w:sz w:val="24"/>
                <w:szCs w:val="24"/>
              </w:rPr>
              <w:t xml:space="preserve"> realizacij</w:t>
            </w:r>
            <w:r w:rsidR="007F3BA8" w:rsidRPr="00C0186C">
              <w:rPr>
                <w:rFonts w:ascii="Times New Roman" w:eastAsia="Calibri" w:hAnsi="Times New Roman" w:cs="Times New Roman"/>
                <w:bCs/>
                <w:sz w:val="24"/>
                <w:szCs w:val="24"/>
              </w:rPr>
              <w:t>e</w:t>
            </w:r>
            <w:r w:rsidR="0058346D" w:rsidRPr="00C0186C">
              <w:rPr>
                <w:rFonts w:ascii="Times New Roman" w:eastAsia="Calibri" w:hAnsi="Times New Roman" w:cs="Times New Roman"/>
                <w:bCs/>
                <w:sz w:val="24"/>
                <w:szCs w:val="24"/>
              </w:rPr>
              <w:t xml:space="preserve"> aktivnosti u okviru sve tri mjere</w:t>
            </w:r>
            <w:r w:rsidR="007F3BA8" w:rsidRPr="00C0186C">
              <w:rPr>
                <w:rFonts w:ascii="Times New Roman" w:eastAsia="Calibri" w:hAnsi="Times New Roman" w:cs="Times New Roman"/>
                <w:bCs/>
                <w:sz w:val="24"/>
                <w:szCs w:val="24"/>
              </w:rPr>
              <w:t xml:space="preserve"> cilja 1. Nekoliko je komponenti bitno</w:t>
            </w:r>
            <w:r w:rsidR="0058346D" w:rsidRPr="00C0186C">
              <w:rPr>
                <w:rFonts w:ascii="Times New Roman" w:eastAsia="Calibri" w:hAnsi="Times New Roman" w:cs="Times New Roman"/>
                <w:bCs/>
                <w:sz w:val="24"/>
                <w:szCs w:val="24"/>
              </w:rPr>
              <w:t xml:space="preserve"> za ostvarenje ovog ishoda, a to su sve aktivnosti vezane za podizanje investicijske aktivnosti, povećanje broja poslovnih subjekata i zaposlenosti te podizanje razine standarda javne infrastrukture. U tom smislu, moguće je koristiti sljedeće pokazatelje:</w:t>
            </w:r>
          </w:p>
          <w:p w14:paraId="5C3A90D2" w14:textId="77777777"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xml:space="preserve">- </w:t>
            </w:r>
            <w:r w:rsidRPr="00C0186C">
              <w:rPr>
                <w:rFonts w:ascii="Times New Roman" w:eastAsia="Calibri" w:hAnsi="Times New Roman" w:cs="Times New Roman"/>
                <w:b/>
                <w:bCs/>
                <w:sz w:val="24"/>
                <w:szCs w:val="24"/>
              </w:rPr>
              <w:t>makroekonomske pokazatelje</w:t>
            </w:r>
            <w:r w:rsidRPr="00C0186C">
              <w:rPr>
                <w:rFonts w:ascii="Times New Roman" w:eastAsia="Calibri" w:hAnsi="Times New Roman" w:cs="Times New Roman"/>
                <w:bCs/>
                <w:sz w:val="24"/>
                <w:szCs w:val="24"/>
              </w:rPr>
              <w:t xml:space="preserve"> (bruto dodana vrijednost te bruto domaći proizvod) za koje trenutno ne postoje podaci na lokalnim razinama, međutim, kretanje ovih pokazatelja može se aproksimirati putem ukupne mase dohotk</w:t>
            </w:r>
            <w:r w:rsidR="00702637" w:rsidRPr="00C0186C">
              <w:rPr>
                <w:rFonts w:ascii="Times New Roman" w:eastAsia="Calibri" w:hAnsi="Times New Roman" w:cs="Times New Roman"/>
                <w:bCs/>
                <w:sz w:val="24"/>
                <w:szCs w:val="24"/>
              </w:rPr>
              <w:t>a</w:t>
            </w:r>
            <w:r w:rsidRPr="00C0186C">
              <w:rPr>
                <w:rFonts w:ascii="Times New Roman" w:eastAsia="Calibri" w:hAnsi="Times New Roman" w:cs="Times New Roman"/>
                <w:bCs/>
                <w:sz w:val="24"/>
                <w:szCs w:val="24"/>
              </w:rPr>
              <w:t xml:space="preserve"> ostvarene na lokalnom području;</w:t>
            </w:r>
          </w:p>
          <w:p w14:paraId="4DD2C259" w14:textId="28C7FB81"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xml:space="preserve">- </w:t>
            </w:r>
          </w:p>
          <w:p w14:paraId="2976A60D" w14:textId="513579D3" w:rsidR="0058346D"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xml:space="preserve">- </w:t>
            </w:r>
            <w:r w:rsidRPr="00C0186C">
              <w:rPr>
                <w:rFonts w:ascii="Times New Roman" w:eastAsia="Calibri" w:hAnsi="Times New Roman" w:cs="Times New Roman"/>
                <w:b/>
                <w:bCs/>
                <w:sz w:val="24"/>
                <w:szCs w:val="24"/>
              </w:rPr>
              <w:t>fiskalne pokazatelje</w:t>
            </w:r>
            <w:r w:rsidRPr="00C0186C">
              <w:rPr>
                <w:rFonts w:ascii="Times New Roman" w:eastAsia="Calibri" w:hAnsi="Times New Roman" w:cs="Times New Roman"/>
                <w:bCs/>
                <w:sz w:val="24"/>
                <w:szCs w:val="24"/>
              </w:rPr>
              <w:t xml:space="preserve"> </w:t>
            </w:r>
            <w:r w:rsidR="005B2A5E" w:rsidRPr="00C0186C">
              <w:rPr>
                <w:rFonts w:ascii="Times New Roman" w:eastAsia="Calibri" w:hAnsi="Times New Roman" w:cs="Times New Roman"/>
                <w:bCs/>
                <w:sz w:val="24"/>
                <w:szCs w:val="24"/>
              </w:rPr>
              <w:t xml:space="preserve">koji su </w:t>
            </w:r>
            <w:r w:rsidRPr="00C0186C">
              <w:rPr>
                <w:rFonts w:ascii="Times New Roman" w:eastAsia="Calibri" w:hAnsi="Times New Roman" w:cs="Times New Roman"/>
                <w:bCs/>
                <w:sz w:val="24"/>
                <w:szCs w:val="24"/>
              </w:rPr>
              <w:t>dostupn</w:t>
            </w:r>
            <w:r w:rsidR="005B2A5E" w:rsidRPr="00C0186C">
              <w:rPr>
                <w:rFonts w:ascii="Times New Roman" w:eastAsia="Calibri" w:hAnsi="Times New Roman" w:cs="Times New Roman"/>
                <w:bCs/>
                <w:sz w:val="24"/>
                <w:szCs w:val="24"/>
              </w:rPr>
              <w:t>i</w:t>
            </w:r>
            <w:r w:rsidRPr="00C0186C">
              <w:rPr>
                <w:rFonts w:ascii="Times New Roman" w:eastAsia="Calibri" w:hAnsi="Times New Roman" w:cs="Times New Roman"/>
                <w:bCs/>
                <w:sz w:val="24"/>
                <w:szCs w:val="24"/>
              </w:rPr>
              <w:t xml:space="preserve"> u okviru baza podataka Ministarstva financija s posebnim naglaskom na praćenje investicija javnog sektora, kao i evidenciju realizacije plana kapitalnih projekata kako bi se mogl</w:t>
            </w:r>
            <w:r w:rsidR="005B2A5E" w:rsidRPr="00C0186C">
              <w:rPr>
                <w:rFonts w:ascii="Times New Roman" w:eastAsia="Calibri" w:hAnsi="Times New Roman" w:cs="Times New Roman"/>
                <w:bCs/>
                <w:sz w:val="24"/>
                <w:szCs w:val="24"/>
              </w:rPr>
              <w:t>e</w:t>
            </w:r>
            <w:r w:rsidRPr="00C0186C">
              <w:rPr>
                <w:rFonts w:ascii="Times New Roman" w:eastAsia="Calibri" w:hAnsi="Times New Roman" w:cs="Times New Roman"/>
                <w:bCs/>
                <w:sz w:val="24"/>
                <w:szCs w:val="24"/>
              </w:rPr>
              <w:t xml:space="preserve"> preciznije utvrditi potrebe vezane za povećanje standarda javne infrastrukture; posebno bi bilo važno </w:t>
            </w:r>
            <w:r w:rsidR="007F3BA8" w:rsidRPr="00C0186C">
              <w:rPr>
                <w:rFonts w:ascii="Times New Roman" w:eastAsia="Calibri" w:hAnsi="Times New Roman" w:cs="Times New Roman"/>
                <w:bCs/>
                <w:sz w:val="24"/>
                <w:szCs w:val="24"/>
              </w:rPr>
              <w:t>uspostaviti</w:t>
            </w:r>
            <w:r w:rsidRPr="00C0186C">
              <w:rPr>
                <w:rFonts w:ascii="Times New Roman" w:eastAsia="Calibri" w:hAnsi="Times New Roman" w:cs="Times New Roman"/>
                <w:bCs/>
                <w:sz w:val="24"/>
                <w:szCs w:val="24"/>
              </w:rPr>
              <w:t xml:space="preserve"> informacijski sustav koji bi prikazivao stanje infrastrukture lokalnih samouprava Republike Hrvatske te pružao mogućnost utvrđivanj</w:t>
            </w:r>
            <w:r w:rsidR="00702637" w:rsidRPr="00C0186C">
              <w:rPr>
                <w:rFonts w:ascii="Times New Roman" w:eastAsia="Calibri" w:hAnsi="Times New Roman" w:cs="Times New Roman"/>
                <w:bCs/>
                <w:sz w:val="24"/>
                <w:szCs w:val="24"/>
              </w:rPr>
              <w:t>a</w:t>
            </w:r>
            <w:r w:rsidRPr="00C0186C">
              <w:rPr>
                <w:rFonts w:ascii="Times New Roman" w:eastAsia="Calibri" w:hAnsi="Times New Roman" w:cs="Times New Roman"/>
                <w:bCs/>
                <w:sz w:val="24"/>
                <w:szCs w:val="24"/>
              </w:rPr>
              <w:t xml:space="preserve"> jaza infrastrukture među pojedinim lokalnim samoupravama kako bi se što kvalitetnije mogli definirati programi sufinanciranja te smanjiti postojeća neravnoteža.</w:t>
            </w:r>
          </w:p>
          <w:p w14:paraId="0B8F86D2" w14:textId="47329BC5" w:rsidR="00A51DB5" w:rsidRPr="00C0186C" w:rsidRDefault="00A51DB5" w:rsidP="00B70EE8">
            <w:pPr>
              <w:spacing w:before="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6C4249">
              <w:rPr>
                <w:rFonts w:ascii="Times New Roman" w:eastAsia="Calibri" w:hAnsi="Times New Roman" w:cs="Times New Roman"/>
                <w:b/>
                <w:sz w:val="24"/>
                <w:szCs w:val="24"/>
              </w:rPr>
              <w:t>indeksni pokazatelji</w:t>
            </w:r>
            <w:r w:rsidRPr="00A51DB5">
              <w:rPr>
                <w:rFonts w:ascii="Times New Roman" w:eastAsia="Calibri" w:hAnsi="Times New Roman" w:cs="Times New Roman"/>
                <w:bCs/>
                <w:sz w:val="24"/>
                <w:szCs w:val="24"/>
              </w:rPr>
              <w:t xml:space="preserve"> su indeksni nizovi (bazni indeksi) kojima se prate promjene općih vrijednosnih odnosa na tržištu nekretnina tako da se prosječan odnos cijene nekretnine nekog obuhvaćenog razdoblja stavi u odnos s cijenama nekretnina iz baznog razdoblja s indeksnim brojem 100 (Zakon o procjeni vrijednosti nekretnina („Narodne novine“, broj: 78/15)). Podloga za razvoj indeksnih nizova su grafičke i brojčane podjele vezane uz indeks razvijenosti cjelokupnog područja Republike Hrvatske. Korištenje i objava indeksnih nizova (na lokalnoj razini) planira se u 2022. godini, s obzirom da su isti u fazi realizacije, čime će se realno moći primijeniti </w:t>
            </w:r>
            <w:proofErr w:type="spellStart"/>
            <w:r w:rsidRPr="00A51DB5">
              <w:rPr>
                <w:rFonts w:ascii="Times New Roman" w:eastAsia="Calibri" w:hAnsi="Times New Roman" w:cs="Times New Roman"/>
                <w:bCs/>
                <w:sz w:val="24"/>
                <w:szCs w:val="24"/>
              </w:rPr>
              <w:t>međuvremensko</w:t>
            </w:r>
            <w:proofErr w:type="spellEnd"/>
            <w:r w:rsidRPr="00A51DB5">
              <w:rPr>
                <w:rFonts w:ascii="Times New Roman" w:eastAsia="Calibri" w:hAnsi="Times New Roman" w:cs="Times New Roman"/>
                <w:bCs/>
                <w:sz w:val="24"/>
                <w:szCs w:val="24"/>
              </w:rPr>
              <w:t xml:space="preserve"> izjednačenje odnosno postupak preračunavanja razlika u konjunkturi do kojih dolazi zbog promjena općih vrijednosnih odnosa na tržištu nekretnina tijekom vremena, a predlaže ih Ministarstvo prostornog uređenja, graditeljstva i državne imovine.</w:t>
            </w:r>
          </w:p>
          <w:p w14:paraId="47CD12C5" w14:textId="77777777"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
                <w:bCs/>
                <w:sz w:val="24"/>
                <w:szCs w:val="24"/>
              </w:rPr>
              <w:t>Unapređenje razine ljudskog kapitala na PP</w:t>
            </w:r>
            <w:r w:rsidR="005B2A5E" w:rsidRPr="00C0186C">
              <w:rPr>
                <w:rFonts w:ascii="Times New Roman" w:eastAsia="Calibri" w:hAnsi="Times New Roman" w:cs="Times New Roman"/>
                <w:b/>
                <w:bCs/>
                <w:sz w:val="24"/>
                <w:szCs w:val="24"/>
              </w:rPr>
              <w:t>-u</w:t>
            </w:r>
            <w:r w:rsidRPr="00C0186C">
              <w:rPr>
                <w:rFonts w:ascii="Times New Roman" w:eastAsia="Calibri" w:hAnsi="Times New Roman" w:cs="Times New Roman"/>
                <w:b/>
                <w:bCs/>
                <w:sz w:val="24"/>
                <w:szCs w:val="24"/>
              </w:rPr>
              <w:t xml:space="preserve"> </w:t>
            </w:r>
            <w:r w:rsidRPr="00C0186C">
              <w:rPr>
                <w:rFonts w:ascii="Times New Roman" w:eastAsia="Calibri" w:hAnsi="Times New Roman" w:cs="Times New Roman"/>
                <w:bCs/>
                <w:sz w:val="24"/>
                <w:szCs w:val="24"/>
              </w:rPr>
              <w:t>usmjereno je u prvom redu na podizanje upravljačke, stručne, tehničke i administrativne sposobnosti zaposlenih u javnom i privatnom sektoru. Također, pažnja je usmjerena i na poticanju javnih i poslovnih subjekata prema kreiranju programa formalnog i neformalnog obrazovanja s ciljem unapređenja djelotvornosti i učinkovitosti poslovanja, ali i povećanju baze potencijalnih zaposlenika temeljem programa prekvalifikacija prilagođenih potrebama poslodavaca. Stoga se predlažu sljedeći pokazatelji:</w:t>
            </w:r>
          </w:p>
          <w:p w14:paraId="2155E570" w14:textId="77777777"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xml:space="preserve">- broj i iznos stipendija poslodavaca vezanih za programe </w:t>
            </w:r>
            <w:r w:rsidR="00417A28" w:rsidRPr="00C0186C">
              <w:rPr>
                <w:rFonts w:ascii="Times New Roman" w:eastAsia="Calibri" w:hAnsi="Times New Roman" w:cs="Times New Roman"/>
                <w:bCs/>
                <w:sz w:val="24"/>
                <w:szCs w:val="24"/>
              </w:rPr>
              <w:t>visokog obrazovanja</w:t>
            </w:r>
            <w:r w:rsidRPr="00C0186C">
              <w:rPr>
                <w:rFonts w:ascii="Times New Roman" w:eastAsia="Calibri" w:hAnsi="Times New Roman" w:cs="Times New Roman"/>
                <w:bCs/>
                <w:sz w:val="24"/>
                <w:szCs w:val="24"/>
              </w:rPr>
              <w:t>(izvor: p</w:t>
            </w:r>
            <w:r w:rsidR="00417A28" w:rsidRPr="00C0186C">
              <w:rPr>
                <w:rFonts w:ascii="Times New Roman" w:eastAsia="Calibri" w:hAnsi="Times New Roman" w:cs="Times New Roman"/>
                <w:bCs/>
                <w:sz w:val="24"/>
                <w:szCs w:val="24"/>
              </w:rPr>
              <w:t>ravna osoba koja dodjeljuje stipendije</w:t>
            </w:r>
            <w:r w:rsidRPr="00C0186C">
              <w:rPr>
                <w:rFonts w:ascii="Times New Roman" w:eastAsia="Calibri" w:hAnsi="Times New Roman" w:cs="Times New Roman"/>
                <w:bCs/>
                <w:sz w:val="24"/>
                <w:szCs w:val="24"/>
              </w:rPr>
              <w:t>)</w:t>
            </w:r>
          </w:p>
          <w:p w14:paraId="774FB34E" w14:textId="77777777"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xml:space="preserve">- </w:t>
            </w:r>
            <w:r w:rsidR="00B56D01" w:rsidRPr="00C0186C">
              <w:rPr>
                <w:rFonts w:ascii="Times New Roman" w:eastAsia="Calibri" w:hAnsi="Times New Roman" w:cs="Times New Roman"/>
                <w:bCs/>
                <w:sz w:val="24"/>
                <w:szCs w:val="24"/>
              </w:rPr>
              <w:t xml:space="preserve">broj i iznos stipendija poslodavca vezanih za programe cjeloživotnog obrazovanja, programe prekvalifikacije, osposobljavanja i usavršavanja (izvor: podaci ustanova za obrazovanje odraslih, pučka otvorena učilišta, osnovne škole, srednje škole, visoka učilišta, škole stranih jezika, ustanove za smještaj i skrb osoba s posebnim potrebama te penološke i druge ustanove koje provode programe obrazovanja odraslih i koje ispunjavanju uvjete propisane Zakonom o obrazovanju odraslih </w:t>
            </w:r>
            <w:r w:rsidR="00B56D01" w:rsidRPr="00C0186C">
              <w:rPr>
                <w:rFonts w:ascii="Times New Roman" w:eastAsia="Calibri" w:hAnsi="Times New Roman" w:cs="Times New Roman"/>
                <w:bCs/>
                <w:i/>
                <w:iCs/>
                <w:sz w:val="24"/>
                <w:szCs w:val="24"/>
              </w:rPr>
              <w:t>(„Narodne novine, broj: 17/07“)</w:t>
            </w:r>
          </w:p>
          <w:p w14:paraId="479EAB53" w14:textId="77777777"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xml:space="preserve">- broj i iznos stipendija vezan za deficitarna i tradicionalna zanimanja (izvor: </w:t>
            </w:r>
            <w:r w:rsidR="00417A28" w:rsidRPr="00C0186C">
              <w:rPr>
                <w:rFonts w:ascii="Times New Roman" w:eastAsia="Calibri" w:hAnsi="Times New Roman" w:cs="Times New Roman"/>
                <w:bCs/>
                <w:sz w:val="24"/>
                <w:szCs w:val="24"/>
              </w:rPr>
              <w:t>pravna osoba koja dodjeljuje stipendije</w:t>
            </w:r>
            <w:r w:rsidRPr="00C0186C">
              <w:rPr>
                <w:rFonts w:ascii="Times New Roman" w:eastAsia="Calibri" w:hAnsi="Times New Roman" w:cs="Times New Roman"/>
                <w:bCs/>
                <w:sz w:val="24"/>
                <w:szCs w:val="24"/>
              </w:rPr>
              <w:t>)</w:t>
            </w:r>
          </w:p>
          <w:p w14:paraId="2D1F6FE3" w14:textId="3B6F44EB" w:rsidR="0058346D" w:rsidRDefault="0058346D" w:rsidP="00816ADC">
            <w:pPr>
              <w:spacing w:before="0" w:after="0"/>
              <w:jc w:val="both"/>
              <w:rPr>
                <w:rFonts w:ascii="Times New Roman" w:eastAsia="Calibri" w:hAnsi="Times New Roman" w:cs="Times New Roman"/>
                <w:bCs/>
                <w:i/>
                <w:iCs/>
                <w:sz w:val="24"/>
                <w:szCs w:val="24"/>
              </w:rPr>
            </w:pPr>
            <w:r w:rsidRPr="00C0186C">
              <w:rPr>
                <w:rFonts w:ascii="Times New Roman" w:eastAsia="Calibri" w:hAnsi="Times New Roman" w:cs="Times New Roman"/>
                <w:bCs/>
                <w:sz w:val="24"/>
                <w:szCs w:val="24"/>
              </w:rPr>
              <w:t xml:space="preserve">- </w:t>
            </w:r>
            <w:r w:rsidR="00B56D01" w:rsidRPr="00C0186C">
              <w:rPr>
                <w:rFonts w:ascii="Times New Roman" w:eastAsia="Calibri" w:hAnsi="Times New Roman" w:cs="Times New Roman"/>
                <w:bCs/>
                <w:sz w:val="24"/>
                <w:szCs w:val="24"/>
              </w:rPr>
              <w:t xml:space="preserve">broj zaposlenih osoba, broj programa prekvalifikacije, osposobljavanja i usavršavanja u okviru kontingentom ugroženih društvenih skupina (osobe s invaliditetom, mladi, žene, dugotrajno nezaposleni) (izvor: HZZ, podaci ustanova za obrazovanje odraslih, pučka otvorena učilišta, osnovne škole, srednje škole, visoka učilišta, škole stranih jezika, ustanove za smještaj i skrb osoba s posebnim potrebama te penološke i druge ustanove koje provode programe obrazovanja odraslih i koje ispunjavaju uvjete propisane Zakonom o obrazovanju odraslih </w:t>
            </w:r>
            <w:r w:rsidR="00B56D01" w:rsidRPr="00C0186C">
              <w:rPr>
                <w:rFonts w:ascii="Times New Roman" w:eastAsia="Calibri" w:hAnsi="Times New Roman" w:cs="Times New Roman"/>
                <w:bCs/>
                <w:i/>
                <w:iCs/>
                <w:sz w:val="24"/>
                <w:szCs w:val="24"/>
              </w:rPr>
              <w:t>(„Narodne novine“, broj: 17/07, 107/07 i 24/10).</w:t>
            </w:r>
          </w:p>
          <w:p w14:paraId="36B3D22C" w14:textId="77777777" w:rsidR="00816ADC" w:rsidRPr="00C0186C" w:rsidRDefault="00816ADC" w:rsidP="00816ADC">
            <w:pPr>
              <w:spacing w:before="0" w:after="0"/>
              <w:jc w:val="both"/>
              <w:rPr>
                <w:rFonts w:ascii="Times New Roman" w:eastAsia="Calibri" w:hAnsi="Times New Roman" w:cs="Times New Roman"/>
                <w:bCs/>
                <w:sz w:val="24"/>
                <w:szCs w:val="24"/>
              </w:rPr>
            </w:pPr>
          </w:p>
          <w:p w14:paraId="2A141E0D" w14:textId="77777777"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
                <w:bCs/>
                <w:sz w:val="24"/>
                <w:szCs w:val="24"/>
              </w:rPr>
              <w:t>Povećanje kvalitete djelo</w:t>
            </w:r>
            <w:r w:rsidR="00B46C52" w:rsidRPr="00C0186C">
              <w:rPr>
                <w:rFonts w:ascii="Times New Roman" w:eastAsia="Calibri" w:hAnsi="Times New Roman" w:cs="Times New Roman"/>
                <w:b/>
                <w:bCs/>
                <w:sz w:val="24"/>
                <w:szCs w:val="24"/>
              </w:rPr>
              <w:t>vanja lokalnog javnog sektora u</w:t>
            </w:r>
            <w:r w:rsidRPr="00C0186C">
              <w:rPr>
                <w:rFonts w:ascii="Times New Roman" w:eastAsia="Calibri" w:hAnsi="Times New Roman" w:cs="Times New Roman"/>
                <w:b/>
                <w:bCs/>
                <w:sz w:val="24"/>
                <w:szCs w:val="24"/>
              </w:rPr>
              <w:t xml:space="preserve"> PP</w:t>
            </w:r>
            <w:r w:rsidR="00D67866" w:rsidRPr="00C0186C">
              <w:rPr>
                <w:rFonts w:ascii="Times New Roman" w:eastAsia="Calibri" w:hAnsi="Times New Roman" w:cs="Times New Roman"/>
                <w:b/>
                <w:bCs/>
                <w:sz w:val="24"/>
                <w:szCs w:val="24"/>
              </w:rPr>
              <w:t>-u</w:t>
            </w:r>
            <w:r w:rsidRPr="00C0186C">
              <w:rPr>
                <w:rFonts w:ascii="Times New Roman" w:eastAsia="Calibri" w:hAnsi="Times New Roman" w:cs="Times New Roman"/>
                <w:b/>
                <w:bCs/>
                <w:sz w:val="24"/>
                <w:szCs w:val="24"/>
              </w:rPr>
              <w:t xml:space="preserve"> </w:t>
            </w:r>
            <w:r w:rsidRPr="00C0186C">
              <w:rPr>
                <w:rFonts w:ascii="Times New Roman" w:eastAsia="Calibri" w:hAnsi="Times New Roman" w:cs="Times New Roman"/>
                <w:bCs/>
                <w:sz w:val="24"/>
                <w:szCs w:val="24"/>
              </w:rPr>
              <w:t xml:space="preserve">kao pokazatelj ostvarenja ishoda </w:t>
            </w:r>
            <w:r w:rsidR="007F3BA8" w:rsidRPr="00C0186C">
              <w:rPr>
                <w:rFonts w:ascii="Times New Roman" w:eastAsia="Calibri" w:hAnsi="Times New Roman" w:cs="Times New Roman"/>
                <w:bCs/>
                <w:sz w:val="24"/>
                <w:szCs w:val="24"/>
              </w:rPr>
              <w:t>odnosi se na</w:t>
            </w:r>
            <w:r w:rsidRPr="00C0186C">
              <w:rPr>
                <w:rFonts w:ascii="Times New Roman" w:eastAsia="Calibri" w:hAnsi="Times New Roman" w:cs="Times New Roman"/>
                <w:b/>
                <w:bCs/>
                <w:sz w:val="24"/>
                <w:szCs w:val="24"/>
              </w:rPr>
              <w:t xml:space="preserve"> </w:t>
            </w:r>
            <w:r w:rsidRPr="00C0186C">
              <w:rPr>
                <w:rFonts w:ascii="Times New Roman" w:eastAsia="Calibri" w:hAnsi="Times New Roman" w:cs="Times New Roman"/>
                <w:bCs/>
                <w:sz w:val="24"/>
                <w:szCs w:val="24"/>
              </w:rPr>
              <w:t>podizanje sveukupnog kapaciteta institucionalnog djelovanja lokalne zajednice. U okviru ove kategorije važne su dvije komponente. Prva se odnosi na podizanje standarda javne infrastrukture, a posebno segmenta koji je komplementaran poslovnim aktivnostima, ali i smanjenju jaza u okviru potreba za društvenom infrastrukturom. Druga se odnosi na kreiranje inovativne i kooperativne zajednice dionika u okviru povoljnog poslovnog okruženja koje podržavaju lokalne vlasti. Stoga se mogu izdvojiti sljedeći pokazatelji:</w:t>
            </w:r>
          </w:p>
          <w:p w14:paraId="60D1903E" w14:textId="77777777"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pokazatelji poslovne infrastrukture</w:t>
            </w:r>
          </w:p>
          <w:p w14:paraId="62978B37" w14:textId="77777777"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xml:space="preserve">- pokazatelji društvene infrastrukture </w:t>
            </w:r>
          </w:p>
          <w:p w14:paraId="6AC49E03" w14:textId="77777777"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xml:space="preserve">- udio primljenih bespovratnih sredstava EU u proračunu </w:t>
            </w:r>
            <w:r w:rsidR="00E45C3F" w:rsidRPr="00C0186C">
              <w:rPr>
                <w:rFonts w:ascii="Times New Roman" w:eastAsia="Calibri" w:hAnsi="Times New Roman" w:cs="Times New Roman"/>
                <w:bCs/>
                <w:sz w:val="24"/>
                <w:szCs w:val="24"/>
              </w:rPr>
              <w:t xml:space="preserve">jedinica </w:t>
            </w:r>
            <w:r w:rsidRPr="00C0186C">
              <w:rPr>
                <w:rFonts w:ascii="Times New Roman" w:eastAsia="Calibri" w:hAnsi="Times New Roman" w:cs="Times New Roman"/>
                <w:bCs/>
                <w:sz w:val="24"/>
                <w:szCs w:val="24"/>
              </w:rPr>
              <w:t>lokalne samouprave</w:t>
            </w:r>
          </w:p>
          <w:p w14:paraId="13EEBB8C" w14:textId="77777777"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primljena bespovratna sredstava EU po glavi stanovnika</w:t>
            </w:r>
          </w:p>
          <w:p w14:paraId="489DB743" w14:textId="77777777" w:rsidR="0058346D" w:rsidRPr="00C0186C" w:rsidRDefault="0058346D" w:rsidP="00B70EE8">
            <w:pPr>
              <w:spacing w:before="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xml:space="preserve">- broj </w:t>
            </w:r>
            <w:proofErr w:type="spellStart"/>
            <w:r w:rsidRPr="00C0186C">
              <w:rPr>
                <w:rFonts w:ascii="Times New Roman" w:eastAsia="Calibri" w:hAnsi="Times New Roman" w:cs="Times New Roman"/>
                <w:bCs/>
                <w:sz w:val="24"/>
                <w:szCs w:val="24"/>
              </w:rPr>
              <w:t>klastera</w:t>
            </w:r>
            <w:proofErr w:type="spellEnd"/>
            <w:r w:rsidRPr="00C0186C">
              <w:rPr>
                <w:rFonts w:ascii="Times New Roman" w:eastAsia="Calibri" w:hAnsi="Times New Roman" w:cs="Times New Roman"/>
                <w:bCs/>
                <w:sz w:val="24"/>
                <w:szCs w:val="24"/>
              </w:rPr>
              <w:t xml:space="preserve">, udruga, poslovnih mreža i drugih oblika povezivanja poduzetnika u malom gospodarstvu. </w:t>
            </w:r>
          </w:p>
          <w:p w14:paraId="0CF060A7" w14:textId="77777777" w:rsidR="00A867B3" w:rsidRDefault="0058346D" w:rsidP="00A867B3">
            <w:pPr>
              <w:spacing w:before="0" w:after="0"/>
              <w:jc w:val="both"/>
              <w:rPr>
                <w:rFonts w:ascii="Times New Roman" w:eastAsia="Calibri" w:hAnsi="Times New Roman" w:cs="Times New Roman"/>
                <w:bCs/>
                <w:sz w:val="24"/>
                <w:szCs w:val="24"/>
              </w:rPr>
            </w:pPr>
            <w:r w:rsidRPr="00C0186C">
              <w:rPr>
                <w:rFonts w:ascii="Times New Roman" w:eastAsia="Calibri" w:hAnsi="Times New Roman" w:cs="Times New Roman"/>
                <w:bCs/>
                <w:sz w:val="24"/>
                <w:szCs w:val="24"/>
              </w:rPr>
              <w:t>- broj ugovora o suradnji udruga, akademske zajednice, privatnih poduzeća, javnog sektora te medija u funkciji realizacije gospodarskih projekata.</w:t>
            </w:r>
          </w:p>
          <w:p w14:paraId="53A1D0B9" w14:textId="77777777" w:rsidR="00A867B3" w:rsidRDefault="00A867B3" w:rsidP="00A867B3">
            <w:pPr>
              <w:spacing w:before="0" w:after="0"/>
              <w:jc w:val="both"/>
              <w:rPr>
                <w:rFonts w:ascii="Times New Roman" w:eastAsia="Calibri" w:hAnsi="Times New Roman" w:cs="Times New Roman"/>
                <w:sz w:val="24"/>
                <w:szCs w:val="24"/>
              </w:rPr>
            </w:pPr>
          </w:p>
          <w:p w14:paraId="5312B191" w14:textId="7CB8ABC0" w:rsidR="0058346D" w:rsidRPr="00C0186C" w:rsidRDefault="00B46C52" w:rsidP="00A867B3">
            <w:pPr>
              <w:spacing w:before="0"/>
              <w:jc w:val="both"/>
              <w:rPr>
                <w:rFonts w:ascii="Times New Roman" w:eastAsia="Calibri" w:hAnsi="Times New Roman" w:cs="Times New Roman"/>
                <w:b/>
                <w:bCs/>
                <w:sz w:val="24"/>
                <w:szCs w:val="24"/>
              </w:rPr>
            </w:pPr>
            <w:r w:rsidRPr="00C0186C">
              <w:rPr>
                <w:rFonts w:ascii="Times New Roman" w:eastAsia="Times New Roman" w:hAnsi="Times New Roman" w:cs="Times New Roman"/>
                <w:sz w:val="24"/>
                <w:szCs w:val="24"/>
                <w:lang w:eastAsia="hr-HR"/>
              </w:rPr>
              <w:t>Budući da za mjerenje ostvarenja ovih ishoda nisu dostupni pokazatelji koji se temelje na kvalitetnim izvorima i redovitom ili periodičnom statističkom izvještavanju, preporuka je da se u tu svrhu pripremi poseban statistički obrazac.</w:t>
            </w:r>
          </w:p>
        </w:tc>
      </w:tr>
      <w:bookmarkEnd w:id="38"/>
    </w:tbl>
    <w:p w14:paraId="2E727195" w14:textId="77777777" w:rsidR="001653B7" w:rsidRPr="00C0186C" w:rsidRDefault="001653B7" w:rsidP="00B70EE8">
      <w:pPr>
        <w:spacing w:before="0"/>
        <w:rPr>
          <w:rFonts w:ascii="Times New Roman" w:eastAsia="Calibri" w:hAnsi="Times New Roman" w:cs="Times New Roman"/>
          <w:b/>
          <w:bCs/>
          <w:sz w:val="24"/>
          <w:szCs w:val="24"/>
        </w:rPr>
      </w:pPr>
    </w:p>
    <w:p w14:paraId="569B56EE" w14:textId="77777777" w:rsidR="005E21AB" w:rsidRPr="00C0186C" w:rsidRDefault="00172FDD" w:rsidP="00816ADC">
      <w:pPr>
        <w:spacing w:before="0" w:after="0"/>
        <w:rPr>
          <w:rFonts w:ascii="Times New Roman" w:eastAsia="Calibri" w:hAnsi="Times New Roman" w:cs="Times New Roman"/>
          <w:b/>
          <w:bCs/>
          <w:sz w:val="24"/>
          <w:szCs w:val="24"/>
        </w:rPr>
      </w:pPr>
      <w:r w:rsidRPr="00C0186C">
        <w:rPr>
          <w:rFonts w:ascii="Times New Roman" w:eastAsia="Calibri" w:hAnsi="Times New Roman" w:cs="Times New Roman"/>
          <w:b/>
          <w:bCs/>
          <w:sz w:val="24"/>
          <w:szCs w:val="24"/>
        </w:rPr>
        <w:t>Tablica 8</w:t>
      </w:r>
      <w:r w:rsidR="001653B7" w:rsidRPr="00C0186C">
        <w:rPr>
          <w:rFonts w:ascii="Times New Roman" w:eastAsia="Calibri" w:hAnsi="Times New Roman" w:cs="Times New Roman"/>
          <w:b/>
          <w:bCs/>
          <w:sz w:val="24"/>
          <w:szCs w:val="24"/>
        </w:rPr>
        <w:t xml:space="preserve">. </w:t>
      </w:r>
      <w:r w:rsidR="001653B7" w:rsidRPr="00C0186C">
        <w:rPr>
          <w:rFonts w:ascii="Times New Roman" w:eastAsia="Calibri" w:hAnsi="Times New Roman" w:cs="Times New Roman"/>
          <w:sz w:val="24"/>
          <w:szCs w:val="24"/>
        </w:rPr>
        <w:t>Prijedlog pokazatelja za praćenje učinaka i ishoda ostvarenja cilja 2</w:t>
      </w:r>
      <w:r w:rsidR="001653B7" w:rsidRPr="00C0186C">
        <w:rPr>
          <w:rFonts w:ascii="Times New Roman" w:eastAsia="Calibri" w:hAnsi="Times New Roman" w:cs="Times New Roman"/>
          <w:b/>
          <w:bCs/>
          <w:sz w:val="24"/>
          <w:szCs w:val="24"/>
        </w:rPr>
        <w:t>.</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15"/>
      </w:tblGrid>
      <w:tr w:rsidR="001653B7" w:rsidRPr="00C0186C" w14:paraId="13AA7B55" w14:textId="77777777" w:rsidTr="00E4439F">
        <w:trPr>
          <w:trHeight w:val="300"/>
        </w:trPr>
        <w:tc>
          <w:tcPr>
            <w:tcW w:w="2547" w:type="dxa"/>
            <w:shd w:val="clear" w:color="auto" w:fill="5B9BD5" w:themeFill="accent1"/>
            <w:noWrap/>
            <w:vAlign w:val="center"/>
            <w:hideMark/>
          </w:tcPr>
          <w:p w14:paraId="2062BD82" w14:textId="77777777" w:rsidR="001653B7" w:rsidRPr="00E4439F" w:rsidRDefault="001653B7" w:rsidP="00B70EE8">
            <w:pPr>
              <w:spacing w:before="0"/>
              <w:rPr>
                <w:rFonts w:ascii="Times New Roman" w:eastAsia="Calibri" w:hAnsi="Times New Roman" w:cs="Times New Roman"/>
                <w:b/>
                <w:bCs/>
                <w:color w:val="FFFFFF" w:themeColor="background1"/>
                <w:sz w:val="24"/>
                <w:szCs w:val="24"/>
              </w:rPr>
            </w:pPr>
            <w:r w:rsidRPr="00E4439F">
              <w:rPr>
                <w:rFonts w:ascii="Times New Roman" w:eastAsia="Calibri" w:hAnsi="Times New Roman" w:cs="Times New Roman"/>
                <w:b/>
                <w:bCs/>
                <w:color w:val="FFFFFF" w:themeColor="background1"/>
                <w:sz w:val="24"/>
                <w:szCs w:val="24"/>
              </w:rPr>
              <w:t>CILJ 2.</w:t>
            </w:r>
          </w:p>
        </w:tc>
        <w:tc>
          <w:tcPr>
            <w:tcW w:w="7115" w:type="dxa"/>
            <w:shd w:val="clear" w:color="auto" w:fill="5B9BD5" w:themeFill="accent1"/>
            <w:noWrap/>
            <w:vAlign w:val="center"/>
            <w:hideMark/>
          </w:tcPr>
          <w:p w14:paraId="070CDDED" w14:textId="77777777" w:rsidR="001653B7" w:rsidRPr="00E4439F" w:rsidRDefault="001653B7" w:rsidP="00B70EE8">
            <w:pPr>
              <w:spacing w:before="0"/>
              <w:rPr>
                <w:rFonts w:ascii="Times New Roman" w:eastAsia="Calibri" w:hAnsi="Times New Roman" w:cs="Times New Roman"/>
                <w:b/>
                <w:bCs/>
                <w:color w:val="FFFFFF" w:themeColor="background1"/>
                <w:sz w:val="24"/>
                <w:szCs w:val="24"/>
              </w:rPr>
            </w:pPr>
            <w:r w:rsidRPr="00E4439F">
              <w:rPr>
                <w:rFonts w:ascii="Times New Roman" w:eastAsia="Calibri" w:hAnsi="Times New Roman" w:cs="Times New Roman"/>
                <w:b/>
                <w:bCs/>
                <w:color w:val="FFFFFF" w:themeColor="background1"/>
                <w:sz w:val="24"/>
                <w:szCs w:val="24"/>
              </w:rPr>
              <w:t xml:space="preserve">DEMOGRAFSKA REVITALIZACIJA  </w:t>
            </w:r>
          </w:p>
        </w:tc>
      </w:tr>
      <w:tr w:rsidR="00CF59E3" w:rsidRPr="00C0186C" w14:paraId="66F5B1B0" w14:textId="77777777" w:rsidTr="00D32164">
        <w:trPr>
          <w:trHeight w:val="300"/>
        </w:trPr>
        <w:tc>
          <w:tcPr>
            <w:tcW w:w="2547" w:type="dxa"/>
            <w:shd w:val="clear" w:color="auto" w:fill="DEEAF6" w:themeFill="accent1" w:themeFillTint="33"/>
            <w:noWrap/>
            <w:vAlign w:val="center"/>
          </w:tcPr>
          <w:p w14:paraId="0E4A2221" w14:textId="77777777" w:rsidR="00CF59E3" w:rsidRPr="00C0186C" w:rsidRDefault="00CF59E3" w:rsidP="00B70EE8">
            <w:pPr>
              <w:spacing w:before="0"/>
              <w:rPr>
                <w:rFonts w:ascii="Times New Roman" w:eastAsia="Calibri" w:hAnsi="Times New Roman" w:cs="Times New Roman"/>
                <w:b/>
                <w:bCs/>
                <w:sz w:val="24"/>
                <w:szCs w:val="24"/>
              </w:rPr>
            </w:pPr>
            <w:r w:rsidRPr="00C0186C">
              <w:rPr>
                <w:rFonts w:ascii="Times New Roman" w:eastAsia="Calibri" w:hAnsi="Times New Roman" w:cs="Times New Roman"/>
                <w:b/>
                <w:bCs/>
                <w:sz w:val="24"/>
                <w:szCs w:val="24"/>
              </w:rPr>
              <w:t>Pokazatelji učinka</w:t>
            </w:r>
          </w:p>
        </w:tc>
        <w:tc>
          <w:tcPr>
            <w:tcW w:w="7115" w:type="dxa"/>
            <w:shd w:val="clear" w:color="auto" w:fill="DEEAF6" w:themeFill="accent1" w:themeFillTint="33"/>
            <w:noWrap/>
            <w:vAlign w:val="center"/>
          </w:tcPr>
          <w:p w14:paraId="4D0C12F2" w14:textId="77777777" w:rsidR="00CF59E3" w:rsidRPr="00C0186C" w:rsidRDefault="00CF59E3" w:rsidP="00B70EE8">
            <w:pPr>
              <w:pStyle w:val="ListParagraph"/>
              <w:numPr>
                <w:ilvl w:val="0"/>
                <w:numId w:val="12"/>
              </w:numPr>
              <w:spacing w:before="0" w:after="120"/>
              <w:ind w:left="714" w:hanging="357"/>
              <w:contextualSpacing w:val="0"/>
              <w:rPr>
                <w:rFonts w:ascii="Times New Roman" w:hAnsi="Times New Roman" w:cs="Times New Roman"/>
                <w:b/>
                <w:sz w:val="24"/>
                <w:szCs w:val="24"/>
              </w:rPr>
            </w:pPr>
            <w:r w:rsidRPr="00C0186C">
              <w:rPr>
                <w:rFonts w:ascii="Times New Roman" w:hAnsi="Times New Roman" w:cs="Times New Roman"/>
                <w:b/>
                <w:sz w:val="24"/>
                <w:szCs w:val="24"/>
              </w:rPr>
              <w:t>Ukupan broj stanovnika</w:t>
            </w:r>
          </w:p>
          <w:p w14:paraId="633FA847" w14:textId="07CE3A9B" w:rsidR="00CF59E3" w:rsidRDefault="00CF59E3" w:rsidP="00A867B3">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Uvažavajući intenzivne depopulacijske procese u PP</w:t>
            </w:r>
            <w:r w:rsidR="00D67866" w:rsidRPr="00C0186C">
              <w:rPr>
                <w:rFonts w:ascii="Times New Roman" w:hAnsi="Times New Roman" w:cs="Times New Roman"/>
                <w:sz w:val="24"/>
                <w:szCs w:val="24"/>
              </w:rPr>
              <w:t>-u</w:t>
            </w:r>
            <w:r w:rsidRPr="00C0186C">
              <w:rPr>
                <w:rFonts w:ascii="Times New Roman" w:hAnsi="Times New Roman" w:cs="Times New Roman"/>
                <w:sz w:val="24"/>
                <w:szCs w:val="24"/>
              </w:rPr>
              <w:t xml:space="preserve"> na koje istovremeno utječu nepovoljna prirodna i migracijska kretanja stanovništva, očekivani učinak ostvarivanja ovog cilja prvenstveno se ogleda u porastu ukupnog broja stanovnika u PP</w:t>
            </w:r>
            <w:r w:rsidR="00D67866" w:rsidRPr="00C0186C">
              <w:rPr>
                <w:rFonts w:ascii="Times New Roman" w:hAnsi="Times New Roman" w:cs="Times New Roman"/>
                <w:sz w:val="24"/>
                <w:szCs w:val="24"/>
              </w:rPr>
              <w:t>-u</w:t>
            </w:r>
            <w:r w:rsidRPr="00C0186C">
              <w:rPr>
                <w:rFonts w:ascii="Times New Roman" w:hAnsi="Times New Roman" w:cs="Times New Roman"/>
                <w:sz w:val="24"/>
                <w:szCs w:val="24"/>
              </w:rPr>
              <w:t xml:space="preserve">. Osim agregatne promjene broja stanovnika u </w:t>
            </w:r>
            <w:r w:rsidR="00D67866" w:rsidRPr="00C0186C">
              <w:rPr>
                <w:rFonts w:ascii="Times New Roman" w:hAnsi="Times New Roman" w:cs="Times New Roman"/>
                <w:sz w:val="24"/>
                <w:szCs w:val="24"/>
              </w:rPr>
              <w:t>potpomognutim područjima</w:t>
            </w:r>
            <w:r w:rsidRPr="00C0186C">
              <w:rPr>
                <w:rFonts w:ascii="Times New Roman" w:hAnsi="Times New Roman" w:cs="Times New Roman"/>
                <w:sz w:val="24"/>
                <w:szCs w:val="24"/>
              </w:rPr>
              <w:t xml:space="preserve">, neophodno je pratiti </w:t>
            </w:r>
            <w:r w:rsidR="00C703B5" w:rsidRPr="00C0186C">
              <w:rPr>
                <w:rFonts w:ascii="Times New Roman" w:hAnsi="Times New Roman" w:cs="Times New Roman"/>
                <w:sz w:val="24"/>
                <w:szCs w:val="24"/>
              </w:rPr>
              <w:t xml:space="preserve">i </w:t>
            </w:r>
            <w:r w:rsidRPr="00C0186C">
              <w:rPr>
                <w:rFonts w:ascii="Times New Roman" w:hAnsi="Times New Roman" w:cs="Times New Roman"/>
                <w:sz w:val="24"/>
                <w:szCs w:val="24"/>
              </w:rPr>
              <w:t>promjene</w:t>
            </w:r>
            <w:r w:rsidR="00C703B5" w:rsidRPr="00C0186C">
              <w:rPr>
                <w:rFonts w:ascii="Times New Roman" w:hAnsi="Times New Roman" w:cs="Times New Roman"/>
                <w:sz w:val="24"/>
                <w:szCs w:val="24"/>
              </w:rPr>
              <w:t xml:space="preserve"> u broju stanovnika</w:t>
            </w:r>
            <w:r w:rsidRPr="00C0186C">
              <w:rPr>
                <w:rFonts w:ascii="Times New Roman" w:hAnsi="Times New Roman" w:cs="Times New Roman"/>
                <w:sz w:val="24"/>
                <w:szCs w:val="24"/>
              </w:rPr>
              <w:t xml:space="preserve"> na razini </w:t>
            </w:r>
            <w:r w:rsidR="00C703B5" w:rsidRPr="00C0186C">
              <w:rPr>
                <w:rFonts w:ascii="Times New Roman" w:hAnsi="Times New Roman" w:cs="Times New Roman"/>
                <w:sz w:val="24"/>
                <w:szCs w:val="24"/>
              </w:rPr>
              <w:t>svake</w:t>
            </w:r>
            <w:r w:rsidRPr="00C0186C">
              <w:rPr>
                <w:rFonts w:ascii="Times New Roman" w:hAnsi="Times New Roman" w:cs="Times New Roman"/>
                <w:sz w:val="24"/>
                <w:szCs w:val="24"/>
              </w:rPr>
              <w:t xml:space="preserve"> </w:t>
            </w:r>
            <w:r w:rsidR="00D67866" w:rsidRPr="00C0186C">
              <w:rPr>
                <w:rFonts w:ascii="Times New Roman" w:hAnsi="Times New Roman" w:cs="Times New Roman"/>
                <w:sz w:val="24"/>
                <w:szCs w:val="24"/>
              </w:rPr>
              <w:t>jedinice lokalne samouprave</w:t>
            </w:r>
            <w:r w:rsidRPr="00C0186C">
              <w:rPr>
                <w:rFonts w:ascii="Times New Roman" w:hAnsi="Times New Roman" w:cs="Times New Roman"/>
                <w:sz w:val="24"/>
                <w:szCs w:val="24"/>
              </w:rPr>
              <w:t xml:space="preserve"> s PP statusom</w:t>
            </w:r>
            <w:r w:rsidR="00C703B5" w:rsidRPr="00C0186C">
              <w:rPr>
                <w:rFonts w:ascii="Times New Roman" w:hAnsi="Times New Roman" w:cs="Times New Roman"/>
                <w:sz w:val="24"/>
                <w:szCs w:val="24"/>
              </w:rPr>
              <w:t xml:space="preserve"> posebno</w:t>
            </w:r>
            <w:r w:rsidRPr="00C0186C">
              <w:rPr>
                <w:rFonts w:ascii="Times New Roman" w:hAnsi="Times New Roman" w:cs="Times New Roman"/>
                <w:sz w:val="24"/>
                <w:szCs w:val="24"/>
              </w:rPr>
              <w:t xml:space="preserve">, </w:t>
            </w:r>
            <w:r w:rsidR="00C703B5" w:rsidRPr="00C0186C">
              <w:rPr>
                <w:rFonts w:ascii="Times New Roman" w:hAnsi="Times New Roman" w:cs="Times New Roman"/>
                <w:sz w:val="24"/>
                <w:szCs w:val="24"/>
              </w:rPr>
              <w:t xml:space="preserve">a sve u svrhu utvrđivanja </w:t>
            </w:r>
            <w:r w:rsidR="00D67866" w:rsidRPr="00C0186C">
              <w:rPr>
                <w:rFonts w:ascii="Times New Roman" w:hAnsi="Times New Roman" w:cs="Times New Roman"/>
                <w:sz w:val="24"/>
                <w:szCs w:val="24"/>
              </w:rPr>
              <w:t>jesu li</w:t>
            </w:r>
            <w:r w:rsidR="00C703B5" w:rsidRPr="00C0186C">
              <w:rPr>
                <w:rFonts w:ascii="Times New Roman" w:hAnsi="Times New Roman" w:cs="Times New Roman"/>
                <w:sz w:val="24"/>
                <w:szCs w:val="24"/>
              </w:rPr>
              <w:t xml:space="preserve"> demografske mjere regionalne politike potaknule </w:t>
            </w:r>
            <w:r w:rsidRPr="00C0186C">
              <w:rPr>
                <w:rFonts w:ascii="Times New Roman" w:hAnsi="Times New Roman" w:cs="Times New Roman"/>
                <w:sz w:val="24"/>
                <w:szCs w:val="24"/>
              </w:rPr>
              <w:t xml:space="preserve">ravnomjerni demografski oporavak </w:t>
            </w:r>
            <w:r w:rsidR="005E586A" w:rsidRPr="00C0186C">
              <w:rPr>
                <w:rFonts w:ascii="Times New Roman" w:hAnsi="Times New Roman" w:cs="Times New Roman"/>
                <w:sz w:val="24"/>
                <w:szCs w:val="24"/>
              </w:rPr>
              <w:t>čitavog prostornog obuhvata PP</w:t>
            </w:r>
            <w:r w:rsidRPr="00C0186C">
              <w:rPr>
                <w:rFonts w:ascii="Times New Roman" w:hAnsi="Times New Roman" w:cs="Times New Roman"/>
                <w:sz w:val="24"/>
                <w:szCs w:val="24"/>
              </w:rPr>
              <w:t>.</w:t>
            </w:r>
          </w:p>
          <w:p w14:paraId="0DAAF825" w14:textId="77777777" w:rsidR="00A867B3" w:rsidRPr="00C0186C" w:rsidRDefault="00A867B3" w:rsidP="00A867B3">
            <w:pPr>
              <w:spacing w:before="0" w:after="0"/>
              <w:jc w:val="both"/>
              <w:rPr>
                <w:rFonts w:ascii="Times New Roman" w:hAnsi="Times New Roman" w:cs="Times New Roman"/>
                <w:sz w:val="24"/>
                <w:szCs w:val="24"/>
              </w:rPr>
            </w:pPr>
          </w:p>
          <w:p w14:paraId="1C2787E2" w14:textId="77777777" w:rsidR="00CF59E3" w:rsidRPr="00C0186C" w:rsidRDefault="00CF59E3" w:rsidP="00B70EE8">
            <w:pPr>
              <w:spacing w:before="0" w:after="120"/>
              <w:jc w:val="both"/>
              <w:rPr>
                <w:rFonts w:ascii="Times New Roman" w:hAnsi="Times New Roman" w:cs="Times New Roman"/>
                <w:sz w:val="24"/>
                <w:szCs w:val="24"/>
              </w:rPr>
            </w:pPr>
            <w:r w:rsidRPr="00C0186C">
              <w:rPr>
                <w:rFonts w:ascii="Times New Roman" w:hAnsi="Times New Roman" w:cs="Times New Roman"/>
                <w:sz w:val="24"/>
                <w:szCs w:val="24"/>
              </w:rPr>
              <w:t xml:space="preserve">Budući da se </w:t>
            </w:r>
            <w:r w:rsidR="00ED6957" w:rsidRPr="00C0186C">
              <w:rPr>
                <w:rFonts w:ascii="Times New Roman" w:hAnsi="Times New Roman" w:cs="Times New Roman"/>
                <w:sz w:val="24"/>
                <w:szCs w:val="24"/>
              </w:rPr>
              <w:t>na osnovu korištenja pokazatelja strukturnih</w:t>
            </w:r>
            <w:r w:rsidRPr="00C0186C">
              <w:rPr>
                <w:rFonts w:ascii="Times New Roman" w:hAnsi="Times New Roman" w:cs="Times New Roman"/>
                <w:sz w:val="24"/>
                <w:szCs w:val="24"/>
              </w:rPr>
              <w:t xml:space="preserve"> </w:t>
            </w:r>
            <w:r w:rsidR="00ED6957" w:rsidRPr="00C0186C">
              <w:rPr>
                <w:rFonts w:ascii="Times New Roman" w:hAnsi="Times New Roman" w:cs="Times New Roman"/>
                <w:sz w:val="24"/>
                <w:szCs w:val="24"/>
              </w:rPr>
              <w:t xml:space="preserve">komponenti </w:t>
            </w:r>
            <w:r w:rsidRPr="00C0186C">
              <w:rPr>
                <w:rFonts w:ascii="Times New Roman" w:hAnsi="Times New Roman" w:cs="Times New Roman"/>
                <w:sz w:val="24"/>
                <w:szCs w:val="24"/>
              </w:rPr>
              <w:t xml:space="preserve">općeg populacijskog kretanja stanovništva na prostoru </w:t>
            </w:r>
            <w:r w:rsidR="00ED6957" w:rsidRPr="00C0186C">
              <w:rPr>
                <w:rFonts w:ascii="Times New Roman" w:hAnsi="Times New Roman" w:cs="Times New Roman"/>
                <w:sz w:val="24"/>
                <w:szCs w:val="24"/>
              </w:rPr>
              <w:t>PP</w:t>
            </w:r>
            <w:r w:rsidR="00D67866" w:rsidRPr="00C0186C">
              <w:rPr>
                <w:rFonts w:ascii="Times New Roman" w:hAnsi="Times New Roman" w:cs="Times New Roman"/>
                <w:sz w:val="24"/>
                <w:szCs w:val="24"/>
              </w:rPr>
              <w:t>-a</w:t>
            </w:r>
            <w:r w:rsidR="00ED6957" w:rsidRPr="00C0186C">
              <w:rPr>
                <w:rFonts w:ascii="Times New Roman" w:hAnsi="Times New Roman" w:cs="Times New Roman"/>
                <w:sz w:val="24"/>
                <w:szCs w:val="24"/>
              </w:rPr>
              <w:t xml:space="preserve"> </w:t>
            </w:r>
            <w:r w:rsidRPr="00C0186C">
              <w:rPr>
                <w:rFonts w:ascii="Times New Roman" w:hAnsi="Times New Roman" w:cs="Times New Roman"/>
                <w:sz w:val="24"/>
                <w:szCs w:val="24"/>
              </w:rPr>
              <w:t xml:space="preserve">može u kombinaciji s drugim </w:t>
            </w:r>
            <w:r w:rsidR="00ED6957" w:rsidRPr="00C0186C">
              <w:rPr>
                <w:rFonts w:ascii="Times New Roman" w:hAnsi="Times New Roman" w:cs="Times New Roman"/>
                <w:sz w:val="24"/>
                <w:szCs w:val="24"/>
              </w:rPr>
              <w:t xml:space="preserve">razvojnim </w:t>
            </w:r>
            <w:r w:rsidRPr="00C0186C">
              <w:rPr>
                <w:rFonts w:ascii="Times New Roman" w:hAnsi="Times New Roman" w:cs="Times New Roman"/>
                <w:sz w:val="24"/>
                <w:szCs w:val="24"/>
              </w:rPr>
              <w:t xml:space="preserve">pokazateljima </w:t>
            </w:r>
            <w:r w:rsidR="00ED6957" w:rsidRPr="00C0186C">
              <w:rPr>
                <w:rFonts w:ascii="Times New Roman" w:hAnsi="Times New Roman" w:cs="Times New Roman"/>
                <w:sz w:val="24"/>
                <w:szCs w:val="24"/>
              </w:rPr>
              <w:t xml:space="preserve">dati opća ocjena njihove </w:t>
            </w:r>
            <w:r w:rsidR="001D1CB9" w:rsidRPr="00C0186C">
              <w:rPr>
                <w:rFonts w:ascii="Times New Roman" w:hAnsi="Times New Roman" w:cs="Times New Roman"/>
                <w:sz w:val="24"/>
                <w:szCs w:val="24"/>
              </w:rPr>
              <w:t xml:space="preserve">povoljnosti </w:t>
            </w:r>
            <w:r w:rsidRPr="00C0186C">
              <w:rPr>
                <w:rFonts w:ascii="Times New Roman" w:hAnsi="Times New Roman" w:cs="Times New Roman"/>
                <w:sz w:val="24"/>
                <w:szCs w:val="24"/>
              </w:rPr>
              <w:t>u smislu doseljavanja</w:t>
            </w:r>
            <w:r w:rsidR="001D1CB9" w:rsidRPr="00C0186C">
              <w:rPr>
                <w:rFonts w:ascii="Times New Roman" w:hAnsi="Times New Roman" w:cs="Times New Roman"/>
                <w:sz w:val="24"/>
                <w:szCs w:val="24"/>
              </w:rPr>
              <w:t>, zadržavanja i bio-reprodukcije stanovništva, potrebno je</w:t>
            </w:r>
            <w:r w:rsidRPr="00C0186C">
              <w:rPr>
                <w:rFonts w:ascii="Times New Roman" w:hAnsi="Times New Roman" w:cs="Times New Roman"/>
                <w:sz w:val="24"/>
                <w:szCs w:val="24"/>
              </w:rPr>
              <w:t xml:space="preserve"> </w:t>
            </w:r>
            <w:r w:rsidR="00ED6957" w:rsidRPr="00C0186C">
              <w:rPr>
                <w:rFonts w:ascii="Times New Roman" w:hAnsi="Times New Roman" w:cs="Times New Roman"/>
                <w:sz w:val="24"/>
                <w:szCs w:val="24"/>
              </w:rPr>
              <w:t>zasebno</w:t>
            </w:r>
            <w:r w:rsidRPr="00C0186C">
              <w:rPr>
                <w:rFonts w:ascii="Times New Roman" w:hAnsi="Times New Roman" w:cs="Times New Roman"/>
                <w:sz w:val="24"/>
                <w:szCs w:val="24"/>
              </w:rPr>
              <w:t xml:space="preserve"> pratiti migracijsk</w:t>
            </w:r>
            <w:r w:rsidR="001D1CB9" w:rsidRPr="00C0186C">
              <w:rPr>
                <w:rFonts w:ascii="Times New Roman" w:hAnsi="Times New Roman" w:cs="Times New Roman"/>
                <w:sz w:val="24"/>
                <w:szCs w:val="24"/>
              </w:rPr>
              <w:t>o</w:t>
            </w:r>
            <w:r w:rsidRPr="00C0186C">
              <w:rPr>
                <w:rFonts w:ascii="Times New Roman" w:hAnsi="Times New Roman" w:cs="Times New Roman"/>
                <w:sz w:val="24"/>
                <w:szCs w:val="24"/>
              </w:rPr>
              <w:t xml:space="preserve"> i prirodn</w:t>
            </w:r>
            <w:r w:rsidR="001D1CB9" w:rsidRPr="00C0186C">
              <w:rPr>
                <w:rFonts w:ascii="Times New Roman" w:hAnsi="Times New Roman" w:cs="Times New Roman"/>
                <w:sz w:val="24"/>
                <w:szCs w:val="24"/>
              </w:rPr>
              <w:t>o</w:t>
            </w:r>
            <w:r w:rsidRPr="00C0186C">
              <w:rPr>
                <w:rFonts w:ascii="Times New Roman" w:hAnsi="Times New Roman" w:cs="Times New Roman"/>
                <w:sz w:val="24"/>
                <w:szCs w:val="24"/>
              </w:rPr>
              <w:t xml:space="preserve"> kretanj</w:t>
            </w:r>
            <w:r w:rsidR="001D1CB9" w:rsidRPr="00C0186C">
              <w:rPr>
                <w:rFonts w:ascii="Times New Roman" w:hAnsi="Times New Roman" w:cs="Times New Roman"/>
                <w:sz w:val="24"/>
                <w:szCs w:val="24"/>
              </w:rPr>
              <w:t>e</w:t>
            </w:r>
            <w:r w:rsidRPr="00C0186C">
              <w:rPr>
                <w:rFonts w:ascii="Times New Roman" w:hAnsi="Times New Roman" w:cs="Times New Roman"/>
                <w:sz w:val="24"/>
                <w:szCs w:val="24"/>
              </w:rPr>
              <w:t xml:space="preserve"> stanovništva u </w:t>
            </w:r>
            <w:r w:rsidR="00D67866" w:rsidRPr="00C0186C">
              <w:rPr>
                <w:rFonts w:ascii="Times New Roman" w:hAnsi="Times New Roman" w:cs="Times New Roman"/>
                <w:sz w:val="24"/>
                <w:szCs w:val="24"/>
              </w:rPr>
              <w:t>potpomognutim područjima</w:t>
            </w:r>
            <w:r w:rsidRPr="00C0186C">
              <w:rPr>
                <w:rFonts w:ascii="Times New Roman" w:hAnsi="Times New Roman" w:cs="Times New Roman"/>
                <w:sz w:val="24"/>
                <w:szCs w:val="24"/>
              </w:rPr>
              <w:t>. Sukladno tome, predlaže se korištenje sljedećih pokazatelja:</w:t>
            </w:r>
          </w:p>
          <w:p w14:paraId="3394A5A5" w14:textId="77777777" w:rsidR="00CF59E3" w:rsidRPr="00C0186C" w:rsidRDefault="00CF59E3" w:rsidP="00B70EE8">
            <w:pPr>
              <w:pStyle w:val="ListParagraph"/>
              <w:numPr>
                <w:ilvl w:val="0"/>
                <w:numId w:val="13"/>
              </w:numPr>
              <w:spacing w:before="0" w:after="120"/>
              <w:contextualSpacing w:val="0"/>
              <w:jc w:val="both"/>
              <w:rPr>
                <w:rFonts w:ascii="Times New Roman" w:hAnsi="Times New Roman" w:cs="Times New Roman"/>
                <w:sz w:val="24"/>
                <w:szCs w:val="24"/>
              </w:rPr>
            </w:pPr>
            <w:r w:rsidRPr="00C0186C">
              <w:rPr>
                <w:rFonts w:ascii="Times New Roman" w:hAnsi="Times New Roman" w:cs="Times New Roman"/>
                <w:b/>
                <w:sz w:val="24"/>
                <w:szCs w:val="24"/>
              </w:rPr>
              <w:t xml:space="preserve">Apsolutna i relativna promjena broja stanovnika u </w:t>
            </w:r>
            <w:r w:rsidR="007038CF" w:rsidRPr="00C0186C">
              <w:rPr>
                <w:rFonts w:ascii="Times New Roman" w:hAnsi="Times New Roman" w:cs="Times New Roman"/>
                <w:b/>
                <w:sz w:val="24"/>
                <w:szCs w:val="24"/>
              </w:rPr>
              <w:t>JLS</w:t>
            </w:r>
            <w:r w:rsidR="00D67866" w:rsidRPr="00C0186C">
              <w:rPr>
                <w:rFonts w:ascii="Times New Roman" w:hAnsi="Times New Roman" w:cs="Times New Roman"/>
                <w:b/>
                <w:sz w:val="24"/>
                <w:szCs w:val="24"/>
              </w:rPr>
              <w:t>-ovima</w:t>
            </w:r>
            <w:r w:rsidRPr="00C0186C">
              <w:rPr>
                <w:rFonts w:ascii="Times New Roman" w:hAnsi="Times New Roman" w:cs="Times New Roman"/>
                <w:b/>
                <w:sz w:val="24"/>
                <w:szCs w:val="24"/>
              </w:rPr>
              <w:t xml:space="preserve"> s PP statusom </w:t>
            </w:r>
            <w:r w:rsidR="001D1CB9" w:rsidRPr="00C0186C">
              <w:rPr>
                <w:rFonts w:ascii="Times New Roman" w:hAnsi="Times New Roman" w:cs="Times New Roman"/>
                <w:b/>
                <w:sz w:val="24"/>
                <w:szCs w:val="24"/>
              </w:rPr>
              <w:t>i ukupno u PP</w:t>
            </w:r>
            <w:r w:rsidR="00D67866" w:rsidRPr="00C0186C">
              <w:rPr>
                <w:rFonts w:ascii="Times New Roman" w:hAnsi="Times New Roman" w:cs="Times New Roman"/>
                <w:b/>
                <w:sz w:val="24"/>
                <w:szCs w:val="24"/>
              </w:rPr>
              <w:t>-u</w:t>
            </w:r>
            <w:r w:rsidR="001D1CB9" w:rsidRPr="00C0186C">
              <w:rPr>
                <w:rFonts w:ascii="Times New Roman" w:hAnsi="Times New Roman" w:cs="Times New Roman"/>
                <w:b/>
                <w:sz w:val="24"/>
                <w:szCs w:val="24"/>
              </w:rPr>
              <w:t xml:space="preserve"> </w:t>
            </w:r>
            <w:r w:rsidRPr="00C0186C">
              <w:rPr>
                <w:rFonts w:ascii="Times New Roman" w:hAnsi="Times New Roman" w:cs="Times New Roman"/>
                <w:b/>
                <w:sz w:val="24"/>
                <w:szCs w:val="24"/>
              </w:rPr>
              <w:t>na godišnjoj razini</w:t>
            </w:r>
            <w:r w:rsidRPr="00C0186C">
              <w:rPr>
                <w:rFonts w:ascii="Times New Roman" w:hAnsi="Times New Roman" w:cs="Times New Roman"/>
                <w:sz w:val="24"/>
                <w:szCs w:val="24"/>
              </w:rPr>
              <w:t xml:space="preserve"> </w:t>
            </w:r>
            <w:r w:rsidR="005E586A" w:rsidRPr="00C0186C">
              <w:rPr>
                <w:rFonts w:ascii="Times New Roman" w:hAnsi="Times New Roman" w:cs="Times New Roman"/>
                <w:b/>
                <w:sz w:val="24"/>
                <w:szCs w:val="24"/>
              </w:rPr>
              <w:t xml:space="preserve">prema skupinama razvijenosti </w:t>
            </w:r>
            <w:r w:rsidRPr="00C0186C">
              <w:rPr>
                <w:rFonts w:ascii="Times New Roman" w:hAnsi="Times New Roman" w:cs="Times New Roman"/>
                <w:sz w:val="24"/>
                <w:szCs w:val="24"/>
              </w:rPr>
              <w:t>(izvor: Godišnje procjene DZS-a i podaci o prijavljenom prebivalištu PU/MUP)</w:t>
            </w:r>
          </w:p>
          <w:p w14:paraId="68A37BC9" w14:textId="77777777" w:rsidR="00CF59E3" w:rsidRPr="00C0186C" w:rsidRDefault="00CF59E3" w:rsidP="00B70EE8">
            <w:pPr>
              <w:pStyle w:val="ListParagraph"/>
              <w:numPr>
                <w:ilvl w:val="0"/>
                <w:numId w:val="13"/>
              </w:numPr>
              <w:spacing w:before="0" w:after="120"/>
              <w:contextualSpacing w:val="0"/>
              <w:jc w:val="both"/>
              <w:rPr>
                <w:rFonts w:ascii="Times New Roman" w:hAnsi="Times New Roman" w:cs="Times New Roman"/>
                <w:sz w:val="24"/>
                <w:szCs w:val="24"/>
              </w:rPr>
            </w:pPr>
            <w:r w:rsidRPr="00C0186C">
              <w:rPr>
                <w:rFonts w:ascii="Times New Roman" w:hAnsi="Times New Roman" w:cs="Times New Roman"/>
                <w:b/>
                <w:sz w:val="24"/>
                <w:szCs w:val="24"/>
              </w:rPr>
              <w:t xml:space="preserve">Migracijski saldo stanovništva u </w:t>
            </w:r>
            <w:r w:rsidR="007038CF" w:rsidRPr="00C0186C">
              <w:rPr>
                <w:rFonts w:ascii="Times New Roman" w:hAnsi="Times New Roman" w:cs="Times New Roman"/>
                <w:b/>
                <w:sz w:val="24"/>
                <w:szCs w:val="24"/>
              </w:rPr>
              <w:t>JLS</w:t>
            </w:r>
            <w:r w:rsidR="00D67866" w:rsidRPr="00C0186C">
              <w:rPr>
                <w:rFonts w:ascii="Times New Roman" w:hAnsi="Times New Roman" w:cs="Times New Roman"/>
                <w:b/>
                <w:sz w:val="24"/>
                <w:szCs w:val="24"/>
              </w:rPr>
              <w:t>-ovima</w:t>
            </w:r>
            <w:r w:rsidRPr="00C0186C">
              <w:rPr>
                <w:rFonts w:ascii="Times New Roman" w:hAnsi="Times New Roman" w:cs="Times New Roman"/>
                <w:b/>
                <w:sz w:val="24"/>
                <w:szCs w:val="24"/>
              </w:rPr>
              <w:t xml:space="preserve"> s PP statusom </w:t>
            </w:r>
            <w:r w:rsidR="001D1CB9" w:rsidRPr="00C0186C">
              <w:rPr>
                <w:rFonts w:ascii="Times New Roman" w:hAnsi="Times New Roman" w:cs="Times New Roman"/>
                <w:b/>
                <w:sz w:val="24"/>
                <w:szCs w:val="24"/>
              </w:rPr>
              <w:t>i ukupno u PP</w:t>
            </w:r>
            <w:r w:rsidR="00D67866" w:rsidRPr="00C0186C">
              <w:rPr>
                <w:rFonts w:ascii="Times New Roman" w:hAnsi="Times New Roman" w:cs="Times New Roman"/>
                <w:b/>
                <w:sz w:val="24"/>
                <w:szCs w:val="24"/>
              </w:rPr>
              <w:t>-u</w:t>
            </w:r>
            <w:r w:rsidR="001D1CB9" w:rsidRPr="00C0186C">
              <w:rPr>
                <w:rFonts w:ascii="Times New Roman" w:hAnsi="Times New Roman" w:cs="Times New Roman"/>
                <w:b/>
                <w:sz w:val="24"/>
                <w:szCs w:val="24"/>
              </w:rPr>
              <w:t xml:space="preserve"> </w:t>
            </w:r>
            <w:r w:rsidRPr="00C0186C">
              <w:rPr>
                <w:rFonts w:ascii="Times New Roman" w:hAnsi="Times New Roman" w:cs="Times New Roman"/>
                <w:b/>
                <w:sz w:val="24"/>
                <w:szCs w:val="24"/>
              </w:rPr>
              <w:t>na godišnjoj razini</w:t>
            </w:r>
            <w:r w:rsidR="005E586A" w:rsidRPr="00C0186C">
              <w:rPr>
                <w:rFonts w:ascii="Times New Roman" w:hAnsi="Times New Roman" w:cs="Times New Roman"/>
                <w:b/>
                <w:sz w:val="24"/>
                <w:szCs w:val="24"/>
              </w:rPr>
              <w:t xml:space="preserve"> prema skupinama razvijenosti</w:t>
            </w:r>
            <w:r w:rsidRPr="00C0186C">
              <w:rPr>
                <w:rFonts w:ascii="Times New Roman" w:hAnsi="Times New Roman" w:cs="Times New Roman"/>
                <w:sz w:val="24"/>
                <w:szCs w:val="24"/>
              </w:rPr>
              <w:t xml:space="preserve"> (izvor: DZS)</w:t>
            </w:r>
          </w:p>
          <w:p w14:paraId="09B3F6FA" w14:textId="5D6E25CF" w:rsidR="00BC0C71" w:rsidRPr="00BC0C71" w:rsidRDefault="00CF59E3" w:rsidP="00BC0C71">
            <w:pPr>
              <w:pStyle w:val="ListParagraph"/>
              <w:numPr>
                <w:ilvl w:val="0"/>
                <w:numId w:val="13"/>
              </w:numPr>
              <w:spacing w:before="0"/>
              <w:contextualSpacing w:val="0"/>
              <w:jc w:val="both"/>
              <w:rPr>
                <w:rFonts w:ascii="Times New Roman" w:hAnsi="Times New Roman" w:cs="Times New Roman"/>
                <w:sz w:val="24"/>
                <w:szCs w:val="24"/>
              </w:rPr>
            </w:pPr>
            <w:r w:rsidRPr="00C0186C">
              <w:rPr>
                <w:rFonts w:ascii="Times New Roman" w:hAnsi="Times New Roman" w:cs="Times New Roman"/>
                <w:b/>
                <w:sz w:val="24"/>
                <w:szCs w:val="24"/>
              </w:rPr>
              <w:t xml:space="preserve">Prirodni prirast stanovništva u </w:t>
            </w:r>
            <w:r w:rsidR="007038CF" w:rsidRPr="00C0186C">
              <w:rPr>
                <w:rFonts w:ascii="Times New Roman" w:hAnsi="Times New Roman" w:cs="Times New Roman"/>
                <w:b/>
                <w:sz w:val="24"/>
                <w:szCs w:val="24"/>
              </w:rPr>
              <w:t>JLS</w:t>
            </w:r>
            <w:r w:rsidR="00D67866" w:rsidRPr="00C0186C">
              <w:rPr>
                <w:rFonts w:ascii="Times New Roman" w:hAnsi="Times New Roman" w:cs="Times New Roman"/>
                <w:b/>
                <w:sz w:val="24"/>
                <w:szCs w:val="24"/>
              </w:rPr>
              <w:t xml:space="preserve">-ovima </w:t>
            </w:r>
            <w:r w:rsidRPr="00C0186C">
              <w:rPr>
                <w:rFonts w:ascii="Times New Roman" w:hAnsi="Times New Roman" w:cs="Times New Roman"/>
                <w:b/>
                <w:sz w:val="24"/>
                <w:szCs w:val="24"/>
              </w:rPr>
              <w:t>s PP statusom</w:t>
            </w:r>
            <w:r w:rsidR="001D1CB9" w:rsidRPr="00C0186C">
              <w:rPr>
                <w:rFonts w:ascii="Times New Roman" w:hAnsi="Times New Roman" w:cs="Times New Roman"/>
                <w:b/>
                <w:sz w:val="24"/>
                <w:szCs w:val="24"/>
              </w:rPr>
              <w:t xml:space="preserve"> i ukupno u PP</w:t>
            </w:r>
            <w:r w:rsidR="00D67866" w:rsidRPr="00C0186C">
              <w:rPr>
                <w:rFonts w:ascii="Times New Roman" w:hAnsi="Times New Roman" w:cs="Times New Roman"/>
                <w:b/>
                <w:sz w:val="24"/>
                <w:szCs w:val="24"/>
              </w:rPr>
              <w:t>-u</w:t>
            </w:r>
            <w:r w:rsidR="001D1CB9" w:rsidRPr="00C0186C">
              <w:rPr>
                <w:rFonts w:ascii="Times New Roman" w:hAnsi="Times New Roman" w:cs="Times New Roman"/>
                <w:b/>
                <w:sz w:val="24"/>
                <w:szCs w:val="24"/>
              </w:rPr>
              <w:t xml:space="preserve"> na godišnjoj razini</w:t>
            </w:r>
            <w:r w:rsidRPr="00C0186C">
              <w:rPr>
                <w:rFonts w:ascii="Times New Roman" w:hAnsi="Times New Roman" w:cs="Times New Roman"/>
                <w:b/>
                <w:sz w:val="24"/>
                <w:szCs w:val="24"/>
              </w:rPr>
              <w:t xml:space="preserve"> </w:t>
            </w:r>
            <w:r w:rsidR="005E586A" w:rsidRPr="00C0186C">
              <w:rPr>
                <w:rFonts w:ascii="Times New Roman" w:hAnsi="Times New Roman" w:cs="Times New Roman"/>
                <w:b/>
                <w:sz w:val="24"/>
                <w:szCs w:val="24"/>
              </w:rPr>
              <w:t xml:space="preserve">prema skupinama razvijenosti </w:t>
            </w:r>
            <w:r w:rsidRPr="00C0186C">
              <w:rPr>
                <w:rFonts w:ascii="Times New Roman" w:hAnsi="Times New Roman" w:cs="Times New Roman"/>
                <w:sz w:val="24"/>
                <w:szCs w:val="24"/>
              </w:rPr>
              <w:t>(izvor: DZS)</w:t>
            </w:r>
          </w:p>
          <w:p w14:paraId="7F75D306" w14:textId="77777777" w:rsidR="001D1CB9" w:rsidRPr="00C0186C" w:rsidRDefault="00CF59E3" w:rsidP="00B70EE8">
            <w:pPr>
              <w:pStyle w:val="ListParagraph"/>
              <w:numPr>
                <w:ilvl w:val="0"/>
                <w:numId w:val="12"/>
              </w:numPr>
              <w:spacing w:before="0" w:after="120"/>
              <w:ind w:left="714" w:hanging="357"/>
              <w:contextualSpacing w:val="0"/>
              <w:jc w:val="both"/>
              <w:rPr>
                <w:rFonts w:ascii="Times New Roman" w:hAnsi="Times New Roman" w:cs="Times New Roman"/>
                <w:b/>
                <w:sz w:val="24"/>
                <w:szCs w:val="24"/>
              </w:rPr>
            </w:pPr>
            <w:r w:rsidRPr="00C0186C">
              <w:rPr>
                <w:rFonts w:ascii="Times New Roman" w:hAnsi="Times New Roman" w:cs="Times New Roman"/>
                <w:b/>
                <w:sz w:val="24"/>
                <w:szCs w:val="24"/>
              </w:rPr>
              <w:t>Starosna i obrazovna obilježja stanovništva</w:t>
            </w:r>
          </w:p>
          <w:p w14:paraId="662D7B2C" w14:textId="77777777" w:rsidR="00CF59E3" w:rsidRPr="00C0186C" w:rsidRDefault="00CF59E3" w:rsidP="00B70EE8">
            <w:pPr>
              <w:spacing w:before="0" w:after="120"/>
              <w:jc w:val="both"/>
              <w:rPr>
                <w:rFonts w:ascii="Times New Roman" w:hAnsi="Times New Roman" w:cs="Times New Roman"/>
                <w:sz w:val="24"/>
                <w:szCs w:val="24"/>
              </w:rPr>
            </w:pPr>
            <w:r w:rsidRPr="00C0186C">
              <w:rPr>
                <w:rFonts w:ascii="Times New Roman" w:hAnsi="Times New Roman" w:cs="Times New Roman"/>
                <w:sz w:val="24"/>
                <w:szCs w:val="24"/>
              </w:rPr>
              <w:t xml:space="preserve">Budući da je </w:t>
            </w:r>
            <w:r w:rsidR="00502C1A" w:rsidRPr="00C0186C">
              <w:rPr>
                <w:rFonts w:ascii="Times New Roman" w:hAnsi="Times New Roman" w:cs="Times New Roman"/>
                <w:sz w:val="24"/>
                <w:szCs w:val="24"/>
              </w:rPr>
              <w:t>dio</w:t>
            </w:r>
            <w:r w:rsidRPr="00C0186C">
              <w:rPr>
                <w:rFonts w:ascii="Times New Roman" w:hAnsi="Times New Roman" w:cs="Times New Roman"/>
                <w:sz w:val="24"/>
                <w:szCs w:val="24"/>
              </w:rPr>
              <w:t xml:space="preserve"> mjera u okviru ovog cilja usmjeren na</w:t>
            </w:r>
            <w:r w:rsidR="005E586A" w:rsidRPr="00C0186C">
              <w:rPr>
                <w:rFonts w:ascii="Times New Roman" w:hAnsi="Times New Roman" w:cs="Times New Roman"/>
                <w:sz w:val="24"/>
                <w:szCs w:val="24"/>
              </w:rPr>
              <w:t xml:space="preserve"> </w:t>
            </w:r>
            <w:r w:rsidR="00502C1A" w:rsidRPr="00C0186C">
              <w:rPr>
                <w:rFonts w:ascii="Times New Roman" w:hAnsi="Times New Roman" w:cs="Times New Roman"/>
                <w:sz w:val="24"/>
                <w:szCs w:val="24"/>
              </w:rPr>
              <w:t xml:space="preserve">poticanje </w:t>
            </w:r>
            <w:r w:rsidR="005E586A" w:rsidRPr="00C0186C">
              <w:rPr>
                <w:rFonts w:ascii="Times New Roman" w:hAnsi="Times New Roman" w:cs="Times New Roman"/>
                <w:sz w:val="24"/>
                <w:szCs w:val="24"/>
              </w:rPr>
              <w:t>doseljavanj</w:t>
            </w:r>
            <w:r w:rsidR="00502C1A" w:rsidRPr="00C0186C">
              <w:rPr>
                <w:rFonts w:ascii="Times New Roman" w:hAnsi="Times New Roman" w:cs="Times New Roman"/>
                <w:sz w:val="24"/>
                <w:szCs w:val="24"/>
              </w:rPr>
              <w:t>a</w:t>
            </w:r>
            <w:r w:rsidR="005E586A" w:rsidRPr="00C0186C">
              <w:rPr>
                <w:rFonts w:ascii="Times New Roman" w:hAnsi="Times New Roman" w:cs="Times New Roman"/>
                <w:sz w:val="24"/>
                <w:szCs w:val="24"/>
              </w:rPr>
              <w:t xml:space="preserve"> i zadržavanj</w:t>
            </w:r>
            <w:r w:rsidR="00502C1A" w:rsidRPr="00C0186C">
              <w:rPr>
                <w:rFonts w:ascii="Times New Roman" w:hAnsi="Times New Roman" w:cs="Times New Roman"/>
                <w:sz w:val="24"/>
                <w:szCs w:val="24"/>
              </w:rPr>
              <w:t>a</w:t>
            </w:r>
            <w:r w:rsidR="005E586A" w:rsidRPr="00C0186C">
              <w:rPr>
                <w:rFonts w:ascii="Times New Roman" w:hAnsi="Times New Roman" w:cs="Times New Roman"/>
                <w:sz w:val="24"/>
                <w:szCs w:val="24"/>
              </w:rPr>
              <w:t xml:space="preserve"> mladog i radno sposobnog</w:t>
            </w:r>
            <w:r w:rsidR="00D67866" w:rsidRPr="00C0186C">
              <w:rPr>
                <w:rFonts w:ascii="Times New Roman" w:hAnsi="Times New Roman" w:cs="Times New Roman"/>
                <w:sz w:val="24"/>
                <w:szCs w:val="24"/>
              </w:rPr>
              <w:t xml:space="preserve"> stanovništva</w:t>
            </w:r>
            <w:r w:rsidR="00502C1A" w:rsidRPr="00C0186C">
              <w:rPr>
                <w:rFonts w:ascii="Times New Roman" w:hAnsi="Times New Roman" w:cs="Times New Roman"/>
                <w:sz w:val="24"/>
                <w:szCs w:val="24"/>
              </w:rPr>
              <w:t xml:space="preserve">, </w:t>
            </w:r>
            <w:r w:rsidRPr="00C0186C">
              <w:rPr>
                <w:rFonts w:ascii="Times New Roman" w:hAnsi="Times New Roman" w:cs="Times New Roman"/>
                <w:sz w:val="24"/>
                <w:szCs w:val="24"/>
              </w:rPr>
              <w:t xml:space="preserve">s posebnim naglaskom na </w:t>
            </w:r>
            <w:r w:rsidR="00502C1A" w:rsidRPr="00C0186C">
              <w:rPr>
                <w:rFonts w:ascii="Times New Roman" w:hAnsi="Times New Roman" w:cs="Times New Roman"/>
                <w:sz w:val="24"/>
                <w:szCs w:val="24"/>
              </w:rPr>
              <w:t>stvaranje boljih obrazovnih mogućnosti i razvoj povoljnijeg okruženja u PP</w:t>
            </w:r>
            <w:r w:rsidR="00D67866" w:rsidRPr="00C0186C">
              <w:rPr>
                <w:rFonts w:ascii="Times New Roman" w:hAnsi="Times New Roman" w:cs="Times New Roman"/>
                <w:sz w:val="24"/>
                <w:szCs w:val="24"/>
              </w:rPr>
              <w:t>-u</w:t>
            </w:r>
            <w:r w:rsidR="00502C1A" w:rsidRPr="00C0186C">
              <w:rPr>
                <w:rFonts w:ascii="Times New Roman" w:hAnsi="Times New Roman" w:cs="Times New Roman"/>
                <w:sz w:val="24"/>
                <w:szCs w:val="24"/>
              </w:rPr>
              <w:t xml:space="preserve"> za rađanje i odgoj djece</w:t>
            </w:r>
            <w:r w:rsidRPr="00C0186C">
              <w:rPr>
                <w:rFonts w:ascii="Times New Roman" w:hAnsi="Times New Roman" w:cs="Times New Roman"/>
                <w:sz w:val="24"/>
                <w:szCs w:val="24"/>
              </w:rPr>
              <w:t xml:space="preserve">, očekivani učinci ostvarivanja ovog cilja odnose se i na unaprjeđenje starosne i obrazovne strukture stanovništva u </w:t>
            </w:r>
            <w:r w:rsidR="007038CF" w:rsidRPr="00C0186C">
              <w:rPr>
                <w:rFonts w:ascii="Times New Roman" w:hAnsi="Times New Roman" w:cs="Times New Roman"/>
                <w:sz w:val="24"/>
                <w:szCs w:val="24"/>
              </w:rPr>
              <w:t>JLS</w:t>
            </w:r>
            <w:r w:rsidR="00D67866" w:rsidRPr="00C0186C">
              <w:rPr>
                <w:rFonts w:ascii="Times New Roman" w:hAnsi="Times New Roman" w:cs="Times New Roman"/>
                <w:sz w:val="24"/>
                <w:szCs w:val="24"/>
              </w:rPr>
              <w:t>-ovima</w:t>
            </w:r>
            <w:r w:rsidRPr="00C0186C">
              <w:rPr>
                <w:rFonts w:ascii="Times New Roman" w:hAnsi="Times New Roman" w:cs="Times New Roman"/>
                <w:sz w:val="24"/>
                <w:szCs w:val="24"/>
              </w:rPr>
              <w:t xml:space="preserve"> s PP statusom. </w:t>
            </w:r>
            <w:r w:rsidR="00502C1A" w:rsidRPr="00C0186C">
              <w:rPr>
                <w:rFonts w:ascii="Times New Roman" w:hAnsi="Times New Roman" w:cs="Times New Roman"/>
                <w:sz w:val="24"/>
                <w:szCs w:val="24"/>
              </w:rPr>
              <w:t>Stoga je</w:t>
            </w:r>
            <w:r w:rsidRPr="00C0186C">
              <w:rPr>
                <w:rFonts w:ascii="Times New Roman" w:hAnsi="Times New Roman" w:cs="Times New Roman"/>
                <w:sz w:val="24"/>
                <w:szCs w:val="24"/>
              </w:rPr>
              <w:t xml:space="preserve"> </w:t>
            </w:r>
            <w:r w:rsidR="00502C1A" w:rsidRPr="00C0186C">
              <w:rPr>
                <w:rFonts w:ascii="Times New Roman" w:hAnsi="Times New Roman" w:cs="Times New Roman"/>
                <w:sz w:val="24"/>
                <w:szCs w:val="24"/>
              </w:rPr>
              <w:t xml:space="preserve">u svrhu cjelovitog </w:t>
            </w:r>
            <w:r w:rsidRPr="00C0186C">
              <w:rPr>
                <w:rFonts w:ascii="Times New Roman" w:hAnsi="Times New Roman" w:cs="Times New Roman"/>
                <w:sz w:val="24"/>
                <w:szCs w:val="24"/>
              </w:rPr>
              <w:t>mjerenj</w:t>
            </w:r>
            <w:r w:rsidR="00502C1A" w:rsidRPr="00C0186C">
              <w:rPr>
                <w:rFonts w:ascii="Times New Roman" w:hAnsi="Times New Roman" w:cs="Times New Roman"/>
                <w:sz w:val="24"/>
                <w:szCs w:val="24"/>
              </w:rPr>
              <w:t>a</w:t>
            </w:r>
            <w:r w:rsidRPr="00C0186C">
              <w:rPr>
                <w:rFonts w:ascii="Times New Roman" w:hAnsi="Times New Roman" w:cs="Times New Roman"/>
                <w:sz w:val="24"/>
                <w:szCs w:val="24"/>
              </w:rPr>
              <w:t xml:space="preserve"> učinaka ostvarivanja ovog cilja </w:t>
            </w:r>
            <w:r w:rsidR="00502C1A" w:rsidRPr="00C0186C">
              <w:rPr>
                <w:rFonts w:ascii="Times New Roman" w:hAnsi="Times New Roman" w:cs="Times New Roman"/>
                <w:sz w:val="24"/>
                <w:szCs w:val="24"/>
              </w:rPr>
              <w:t xml:space="preserve">potrebno koristiti i </w:t>
            </w:r>
            <w:r w:rsidRPr="00C0186C">
              <w:rPr>
                <w:rFonts w:ascii="Times New Roman" w:hAnsi="Times New Roman" w:cs="Times New Roman"/>
                <w:sz w:val="24"/>
                <w:szCs w:val="24"/>
              </w:rPr>
              <w:t>sljede</w:t>
            </w:r>
            <w:r w:rsidR="00502C1A" w:rsidRPr="00C0186C">
              <w:rPr>
                <w:rFonts w:ascii="Times New Roman" w:hAnsi="Times New Roman" w:cs="Times New Roman"/>
                <w:sz w:val="24"/>
                <w:szCs w:val="24"/>
              </w:rPr>
              <w:t>će</w:t>
            </w:r>
            <w:r w:rsidRPr="00C0186C">
              <w:rPr>
                <w:rFonts w:ascii="Times New Roman" w:hAnsi="Times New Roman" w:cs="Times New Roman"/>
                <w:sz w:val="24"/>
                <w:szCs w:val="24"/>
              </w:rPr>
              <w:t xml:space="preserve"> pokazat</w:t>
            </w:r>
            <w:r w:rsidR="00502C1A" w:rsidRPr="00C0186C">
              <w:rPr>
                <w:rFonts w:ascii="Times New Roman" w:hAnsi="Times New Roman" w:cs="Times New Roman"/>
                <w:sz w:val="24"/>
                <w:szCs w:val="24"/>
              </w:rPr>
              <w:t>elje</w:t>
            </w:r>
            <w:r w:rsidRPr="00C0186C">
              <w:rPr>
                <w:rFonts w:ascii="Times New Roman" w:hAnsi="Times New Roman" w:cs="Times New Roman"/>
                <w:sz w:val="24"/>
                <w:szCs w:val="24"/>
              </w:rPr>
              <w:t>:</w:t>
            </w:r>
          </w:p>
          <w:p w14:paraId="79DB39B2" w14:textId="77777777" w:rsidR="00CF59E3" w:rsidRPr="00C0186C" w:rsidRDefault="00CF59E3" w:rsidP="00B70EE8">
            <w:pPr>
              <w:pStyle w:val="ListParagraph"/>
              <w:numPr>
                <w:ilvl w:val="0"/>
                <w:numId w:val="14"/>
              </w:numPr>
              <w:spacing w:before="0" w:after="120"/>
              <w:ind w:left="714" w:hanging="357"/>
              <w:contextualSpacing w:val="0"/>
              <w:jc w:val="both"/>
              <w:rPr>
                <w:rFonts w:ascii="Times New Roman" w:hAnsi="Times New Roman" w:cs="Times New Roman"/>
                <w:b/>
                <w:sz w:val="24"/>
                <w:szCs w:val="24"/>
              </w:rPr>
            </w:pPr>
            <w:r w:rsidRPr="00C0186C">
              <w:rPr>
                <w:rFonts w:ascii="Times New Roman" w:hAnsi="Times New Roman" w:cs="Times New Roman"/>
                <w:b/>
                <w:sz w:val="24"/>
                <w:szCs w:val="24"/>
              </w:rPr>
              <w:t xml:space="preserve">Promjena dobne strukture stanovništva prema dobnim kontingentima u </w:t>
            </w:r>
            <w:r w:rsidR="007038CF" w:rsidRPr="00C0186C">
              <w:rPr>
                <w:rFonts w:ascii="Times New Roman" w:hAnsi="Times New Roman" w:cs="Times New Roman"/>
                <w:b/>
                <w:sz w:val="24"/>
                <w:szCs w:val="24"/>
              </w:rPr>
              <w:t>JLS</w:t>
            </w:r>
            <w:r w:rsidR="00D67866" w:rsidRPr="00C0186C">
              <w:rPr>
                <w:rFonts w:ascii="Times New Roman" w:hAnsi="Times New Roman" w:cs="Times New Roman"/>
                <w:b/>
                <w:sz w:val="24"/>
                <w:szCs w:val="24"/>
              </w:rPr>
              <w:t>-ovima</w:t>
            </w:r>
            <w:r w:rsidRPr="00C0186C">
              <w:rPr>
                <w:rFonts w:ascii="Times New Roman" w:hAnsi="Times New Roman" w:cs="Times New Roman"/>
                <w:b/>
                <w:sz w:val="24"/>
                <w:szCs w:val="24"/>
              </w:rPr>
              <w:t xml:space="preserve"> s PP statusom</w:t>
            </w:r>
            <w:r w:rsidR="005E586A" w:rsidRPr="00C0186C">
              <w:rPr>
                <w:rFonts w:ascii="Times New Roman" w:hAnsi="Times New Roman" w:cs="Times New Roman"/>
                <w:b/>
                <w:sz w:val="24"/>
                <w:szCs w:val="24"/>
              </w:rPr>
              <w:t xml:space="preserve"> i ukupno u PP</w:t>
            </w:r>
            <w:r w:rsidR="00D67866" w:rsidRPr="00C0186C">
              <w:rPr>
                <w:rFonts w:ascii="Times New Roman" w:hAnsi="Times New Roman" w:cs="Times New Roman"/>
                <w:b/>
                <w:sz w:val="24"/>
                <w:szCs w:val="24"/>
              </w:rPr>
              <w:t>-u</w:t>
            </w:r>
            <w:r w:rsidR="005E586A" w:rsidRPr="00C0186C">
              <w:rPr>
                <w:rFonts w:ascii="Times New Roman" w:hAnsi="Times New Roman" w:cs="Times New Roman"/>
                <w:b/>
                <w:sz w:val="24"/>
                <w:szCs w:val="24"/>
              </w:rPr>
              <w:t xml:space="preserve"> prema skupinama razvijenosti </w:t>
            </w:r>
            <w:r w:rsidRPr="00C0186C">
              <w:rPr>
                <w:rFonts w:ascii="Times New Roman" w:hAnsi="Times New Roman" w:cs="Times New Roman"/>
                <w:sz w:val="24"/>
                <w:szCs w:val="24"/>
              </w:rPr>
              <w:t>(izvor: podaci o prijavljenom prebivalištu PU/MUP)</w:t>
            </w:r>
          </w:p>
          <w:p w14:paraId="6A416563" w14:textId="77777777" w:rsidR="00CF59E3" w:rsidRPr="00C0186C" w:rsidRDefault="00CF59E3" w:rsidP="00B70EE8">
            <w:pPr>
              <w:pStyle w:val="ListParagraph"/>
              <w:numPr>
                <w:ilvl w:val="0"/>
                <w:numId w:val="14"/>
              </w:numPr>
              <w:spacing w:before="0" w:after="120"/>
              <w:ind w:left="714" w:hanging="357"/>
              <w:contextualSpacing w:val="0"/>
              <w:jc w:val="both"/>
              <w:rPr>
                <w:rFonts w:ascii="Times New Roman" w:hAnsi="Times New Roman" w:cs="Times New Roman"/>
                <w:sz w:val="24"/>
                <w:szCs w:val="24"/>
              </w:rPr>
            </w:pPr>
            <w:r w:rsidRPr="00C0186C">
              <w:rPr>
                <w:rFonts w:ascii="Times New Roman" w:hAnsi="Times New Roman" w:cs="Times New Roman"/>
                <w:b/>
                <w:sz w:val="24"/>
                <w:szCs w:val="24"/>
              </w:rPr>
              <w:t xml:space="preserve">Pokazatelji starenja stanovništva u </w:t>
            </w:r>
            <w:r w:rsidR="007038CF" w:rsidRPr="00C0186C">
              <w:rPr>
                <w:rFonts w:ascii="Times New Roman" w:hAnsi="Times New Roman" w:cs="Times New Roman"/>
                <w:b/>
                <w:sz w:val="24"/>
                <w:szCs w:val="24"/>
              </w:rPr>
              <w:t>JLS</w:t>
            </w:r>
            <w:r w:rsidR="00D67866" w:rsidRPr="00C0186C">
              <w:rPr>
                <w:rFonts w:ascii="Times New Roman" w:hAnsi="Times New Roman" w:cs="Times New Roman"/>
                <w:b/>
                <w:sz w:val="24"/>
                <w:szCs w:val="24"/>
              </w:rPr>
              <w:t>-ovima</w:t>
            </w:r>
            <w:r w:rsidRPr="00C0186C">
              <w:rPr>
                <w:rFonts w:ascii="Times New Roman" w:hAnsi="Times New Roman" w:cs="Times New Roman"/>
                <w:b/>
                <w:sz w:val="24"/>
                <w:szCs w:val="24"/>
              </w:rPr>
              <w:t xml:space="preserve"> s PP statusom </w:t>
            </w:r>
            <w:r w:rsidR="005E586A" w:rsidRPr="00C0186C">
              <w:rPr>
                <w:rFonts w:ascii="Times New Roman" w:hAnsi="Times New Roman" w:cs="Times New Roman"/>
                <w:b/>
                <w:sz w:val="24"/>
                <w:szCs w:val="24"/>
              </w:rPr>
              <w:t>i ukupno u PP</w:t>
            </w:r>
            <w:r w:rsidR="00D67866" w:rsidRPr="00C0186C">
              <w:rPr>
                <w:rFonts w:ascii="Times New Roman" w:hAnsi="Times New Roman" w:cs="Times New Roman"/>
                <w:b/>
                <w:sz w:val="24"/>
                <w:szCs w:val="24"/>
              </w:rPr>
              <w:t>-u</w:t>
            </w:r>
            <w:r w:rsidR="005E586A" w:rsidRPr="00C0186C">
              <w:rPr>
                <w:rFonts w:ascii="Times New Roman" w:hAnsi="Times New Roman" w:cs="Times New Roman"/>
                <w:b/>
                <w:sz w:val="24"/>
                <w:szCs w:val="24"/>
              </w:rPr>
              <w:t xml:space="preserve"> </w:t>
            </w:r>
            <w:r w:rsidRPr="00C0186C">
              <w:rPr>
                <w:rFonts w:ascii="Times New Roman" w:hAnsi="Times New Roman" w:cs="Times New Roman"/>
                <w:b/>
                <w:sz w:val="24"/>
                <w:szCs w:val="24"/>
              </w:rPr>
              <w:t>na godišnjoj razini</w:t>
            </w:r>
            <w:r w:rsidR="005E586A" w:rsidRPr="00C0186C">
              <w:rPr>
                <w:rFonts w:ascii="Times New Roman" w:hAnsi="Times New Roman" w:cs="Times New Roman"/>
                <w:b/>
                <w:sz w:val="24"/>
                <w:szCs w:val="24"/>
              </w:rPr>
              <w:t xml:space="preserve"> prema skupinama razvijenosti</w:t>
            </w:r>
            <w:r w:rsidRPr="00C0186C">
              <w:rPr>
                <w:rFonts w:ascii="Times New Roman" w:hAnsi="Times New Roman" w:cs="Times New Roman"/>
                <w:b/>
                <w:sz w:val="24"/>
                <w:szCs w:val="24"/>
              </w:rPr>
              <w:t xml:space="preserve"> – prosječna starost, koeficijent starosti i indeks starenja </w:t>
            </w:r>
            <w:r w:rsidRPr="00C0186C">
              <w:rPr>
                <w:rFonts w:ascii="Times New Roman" w:hAnsi="Times New Roman" w:cs="Times New Roman"/>
                <w:sz w:val="24"/>
                <w:szCs w:val="24"/>
              </w:rPr>
              <w:t>(izvor: podaci o prijavljenom prebivalištu PU/MUP)</w:t>
            </w:r>
          </w:p>
          <w:p w14:paraId="69DB6D64" w14:textId="77777777" w:rsidR="00CF59E3" w:rsidRPr="00C0186C" w:rsidRDefault="00CF59E3" w:rsidP="00B70EE8">
            <w:pPr>
              <w:pStyle w:val="ListParagraph"/>
              <w:numPr>
                <w:ilvl w:val="0"/>
                <w:numId w:val="14"/>
              </w:numPr>
              <w:spacing w:before="0"/>
              <w:ind w:left="714" w:hanging="357"/>
              <w:contextualSpacing w:val="0"/>
              <w:jc w:val="both"/>
              <w:rPr>
                <w:rFonts w:ascii="Times New Roman" w:hAnsi="Times New Roman" w:cs="Times New Roman"/>
                <w:b/>
                <w:sz w:val="24"/>
                <w:szCs w:val="24"/>
              </w:rPr>
            </w:pPr>
            <w:proofErr w:type="spellStart"/>
            <w:r w:rsidRPr="00C0186C">
              <w:rPr>
                <w:rFonts w:ascii="Times New Roman" w:hAnsi="Times New Roman" w:cs="Times New Roman"/>
                <w:b/>
                <w:sz w:val="24"/>
                <w:szCs w:val="24"/>
              </w:rPr>
              <w:t>Međupopisna</w:t>
            </w:r>
            <w:proofErr w:type="spellEnd"/>
            <w:r w:rsidRPr="00C0186C">
              <w:rPr>
                <w:rFonts w:ascii="Times New Roman" w:hAnsi="Times New Roman" w:cs="Times New Roman"/>
                <w:b/>
                <w:sz w:val="24"/>
                <w:szCs w:val="24"/>
              </w:rPr>
              <w:t xml:space="preserve"> promjena dobne strukture stanovništva prema obrazovnim kontingentima u </w:t>
            </w:r>
            <w:r w:rsidR="007038CF" w:rsidRPr="00C0186C">
              <w:rPr>
                <w:rFonts w:ascii="Times New Roman" w:hAnsi="Times New Roman" w:cs="Times New Roman"/>
                <w:b/>
                <w:sz w:val="24"/>
                <w:szCs w:val="24"/>
              </w:rPr>
              <w:t>JLS</w:t>
            </w:r>
            <w:r w:rsidR="00D67866" w:rsidRPr="00C0186C">
              <w:rPr>
                <w:rFonts w:ascii="Times New Roman" w:hAnsi="Times New Roman" w:cs="Times New Roman"/>
                <w:b/>
                <w:sz w:val="24"/>
                <w:szCs w:val="24"/>
              </w:rPr>
              <w:t>-ovima</w:t>
            </w:r>
            <w:r w:rsidRPr="00C0186C">
              <w:rPr>
                <w:rFonts w:ascii="Times New Roman" w:hAnsi="Times New Roman" w:cs="Times New Roman"/>
                <w:b/>
                <w:sz w:val="24"/>
                <w:szCs w:val="24"/>
              </w:rPr>
              <w:t xml:space="preserve"> s PP statusom</w:t>
            </w:r>
            <w:r w:rsidR="005E586A" w:rsidRPr="00C0186C">
              <w:rPr>
                <w:rFonts w:ascii="Times New Roman" w:hAnsi="Times New Roman" w:cs="Times New Roman"/>
                <w:b/>
                <w:sz w:val="24"/>
                <w:szCs w:val="24"/>
              </w:rPr>
              <w:t xml:space="preserve"> i ukupno u PP</w:t>
            </w:r>
            <w:r w:rsidR="00D67866" w:rsidRPr="00C0186C">
              <w:rPr>
                <w:rFonts w:ascii="Times New Roman" w:hAnsi="Times New Roman" w:cs="Times New Roman"/>
                <w:b/>
                <w:sz w:val="24"/>
                <w:szCs w:val="24"/>
              </w:rPr>
              <w:t>-u</w:t>
            </w:r>
            <w:r w:rsidR="005E586A" w:rsidRPr="00C0186C">
              <w:rPr>
                <w:rFonts w:ascii="Times New Roman" w:hAnsi="Times New Roman" w:cs="Times New Roman"/>
                <w:b/>
                <w:sz w:val="24"/>
                <w:szCs w:val="24"/>
              </w:rPr>
              <w:t xml:space="preserve"> prema skupinama razvijenosti</w:t>
            </w:r>
            <w:r w:rsidRPr="00C0186C">
              <w:rPr>
                <w:rFonts w:ascii="Times New Roman" w:hAnsi="Times New Roman" w:cs="Times New Roman"/>
                <w:b/>
                <w:sz w:val="24"/>
                <w:szCs w:val="24"/>
              </w:rPr>
              <w:t xml:space="preserve"> </w:t>
            </w:r>
            <w:r w:rsidRPr="00C0186C">
              <w:rPr>
                <w:rFonts w:ascii="Times New Roman" w:hAnsi="Times New Roman" w:cs="Times New Roman"/>
                <w:sz w:val="24"/>
                <w:szCs w:val="24"/>
              </w:rPr>
              <w:t>(izvor: Popis stanovništva 2011. i Popis stanovništva 2021.)</w:t>
            </w:r>
          </w:p>
          <w:p w14:paraId="22007AC8" w14:textId="77777777" w:rsidR="00CF59E3" w:rsidRPr="00C0186C" w:rsidRDefault="00CF59E3" w:rsidP="00B70EE8">
            <w:pPr>
              <w:pStyle w:val="ListParagraph"/>
              <w:numPr>
                <w:ilvl w:val="0"/>
                <w:numId w:val="12"/>
              </w:numPr>
              <w:spacing w:before="0" w:after="120"/>
              <w:ind w:left="714" w:hanging="357"/>
              <w:contextualSpacing w:val="0"/>
              <w:jc w:val="both"/>
              <w:rPr>
                <w:rFonts w:ascii="Times New Roman" w:hAnsi="Times New Roman" w:cs="Times New Roman"/>
                <w:b/>
                <w:sz w:val="24"/>
                <w:szCs w:val="24"/>
              </w:rPr>
            </w:pPr>
            <w:r w:rsidRPr="00C0186C">
              <w:rPr>
                <w:rFonts w:ascii="Times New Roman" w:hAnsi="Times New Roman" w:cs="Times New Roman"/>
                <w:b/>
                <w:sz w:val="24"/>
                <w:szCs w:val="24"/>
              </w:rPr>
              <w:t xml:space="preserve">Indeks razvijenosti </w:t>
            </w:r>
            <w:r w:rsidRPr="00C0186C">
              <w:rPr>
                <w:rFonts w:ascii="Times New Roman" w:hAnsi="Times New Roman" w:cs="Times New Roman"/>
                <w:sz w:val="24"/>
                <w:szCs w:val="24"/>
              </w:rPr>
              <w:t>(izvor: MRRFEU)</w:t>
            </w:r>
          </w:p>
          <w:p w14:paraId="07732240" w14:textId="77777777" w:rsidR="00CF59E3" w:rsidRPr="00C0186C" w:rsidRDefault="00CF59E3"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 xml:space="preserve">S obzirom na očekivano </w:t>
            </w:r>
            <w:r w:rsidR="00502C1A" w:rsidRPr="00C0186C">
              <w:rPr>
                <w:rFonts w:ascii="Times New Roman" w:hAnsi="Times New Roman" w:cs="Times New Roman"/>
                <w:sz w:val="24"/>
                <w:szCs w:val="24"/>
              </w:rPr>
              <w:t xml:space="preserve">uzajamno djelovanje svih </w:t>
            </w:r>
            <w:r w:rsidRPr="00C0186C">
              <w:rPr>
                <w:rFonts w:ascii="Times New Roman" w:hAnsi="Times New Roman" w:cs="Times New Roman"/>
                <w:sz w:val="24"/>
                <w:szCs w:val="24"/>
              </w:rPr>
              <w:t>Programom definiranih mjera</w:t>
            </w:r>
            <w:r w:rsidR="00502C1A" w:rsidRPr="00C0186C">
              <w:rPr>
                <w:rFonts w:ascii="Times New Roman" w:hAnsi="Times New Roman" w:cs="Times New Roman"/>
                <w:sz w:val="24"/>
                <w:szCs w:val="24"/>
              </w:rPr>
              <w:t xml:space="preserve"> </w:t>
            </w:r>
            <w:r w:rsidRPr="00C0186C">
              <w:rPr>
                <w:rFonts w:ascii="Times New Roman" w:hAnsi="Times New Roman" w:cs="Times New Roman"/>
                <w:sz w:val="24"/>
                <w:szCs w:val="24"/>
              </w:rPr>
              <w:t xml:space="preserve">u </w:t>
            </w:r>
            <w:r w:rsidR="00502C1A" w:rsidRPr="00C0186C">
              <w:rPr>
                <w:rFonts w:ascii="Times New Roman" w:hAnsi="Times New Roman" w:cs="Times New Roman"/>
                <w:sz w:val="24"/>
                <w:szCs w:val="24"/>
              </w:rPr>
              <w:t xml:space="preserve">procesima </w:t>
            </w:r>
            <w:r w:rsidRPr="00C0186C">
              <w:rPr>
                <w:rFonts w:ascii="Times New Roman" w:hAnsi="Times New Roman" w:cs="Times New Roman"/>
                <w:sz w:val="24"/>
                <w:szCs w:val="24"/>
              </w:rPr>
              <w:t>ostvar</w:t>
            </w:r>
            <w:r w:rsidR="00502C1A" w:rsidRPr="00C0186C">
              <w:rPr>
                <w:rFonts w:ascii="Times New Roman" w:hAnsi="Times New Roman" w:cs="Times New Roman"/>
                <w:sz w:val="24"/>
                <w:szCs w:val="24"/>
              </w:rPr>
              <w:t>ivanja</w:t>
            </w:r>
            <w:r w:rsidRPr="00C0186C">
              <w:rPr>
                <w:rFonts w:ascii="Times New Roman" w:hAnsi="Times New Roman" w:cs="Times New Roman"/>
                <w:sz w:val="24"/>
                <w:szCs w:val="24"/>
              </w:rPr>
              <w:t xml:space="preserve"> postavljenih ciljeva, očekivani kumulativni učinak ovog cilja </w:t>
            </w:r>
            <w:r w:rsidR="00502C1A" w:rsidRPr="00C0186C">
              <w:rPr>
                <w:rFonts w:ascii="Times New Roman" w:hAnsi="Times New Roman" w:cs="Times New Roman"/>
                <w:sz w:val="24"/>
                <w:szCs w:val="24"/>
              </w:rPr>
              <w:t>nužno je također</w:t>
            </w:r>
            <w:r w:rsidRPr="00C0186C">
              <w:rPr>
                <w:rFonts w:ascii="Times New Roman" w:hAnsi="Times New Roman" w:cs="Times New Roman"/>
                <w:sz w:val="24"/>
                <w:szCs w:val="24"/>
              </w:rPr>
              <w:t xml:space="preserve"> mjeriti indeksom razvijenosti </w:t>
            </w:r>
            <w:r w:rsidR="007038CF" w:rsidRPr="00C0186C">
              <w:rPr>
                <w:rFonts w:ascii="Times New Roman" w:hAnsi="Times New Roman" w:cs="Times New Roman"/>
                <w:sz w:val="24"/>
                <w:szCs w:val="24"/>
              </w:rPr>
              <w:t>JLS</w:t>
            </w:r>
            <w:r w:rsidR="00D67866" w:rsidRPr="00C0186C">
              <w:rPr>
                <w:rFonts w:ascii="Times New Roman" w:hAnsi="Times New Roman" w:cs="Times New Roman"/>
                <w:sz w:val="24"/>
                <w:szCs w:val="24"/>
              </w:rPr>
              <w:t>-ova</w:t>
            </w:r>
            <w:r w:rsidRPr="00C0186C">
              <w:rPr>
                <w:rFonts w:ascii="Times New Roman" w:hAnsi="Times New Roman" w:cs="Times New Roman"/>
                <w:sz w:val="24"/>
                <w:szCs w:val="24"/>
              </w:rPr>
              <w:t xml:space="preserve"> s PP statusom. </w:t>
            </w:r>
            <w:r w:rsidR="00502C1A" w:rsidRPr="00C0186C">
              <w:rPr>
                <w:rFonts w:ascii="Times New Roman" w:hAnsi="Times New Roman" w:cs="Times New Roman"/>
                <w:sz w:val="24"/>
                <w:szCs w:val="24"/>
              </w:rPr>
              <w:t xml:space="preserve">Razlog tome je što </w:t>
            </w:r>
            <w:r w:rsidR="00DE4454" w:rsidRPr="00C0186C">
              <w:rPr>
                <w:rFonts w:ascii="Times New Roman" w:hAnsi="Times New Roman" w:cs="Times New Roman"/>
                <w:sz w:val="24"/>
                <w:szCs w:val="24"/>
              </w:rPr>
              <w:t>prema modelu izračuna indeksa razvijenosti</w:t>
            </w:r>
            <w:r w:rsidR="00DF5E4A" w:rsidRPr="00C0186C">
              <w:rPr>
                <w:rFonts w:ascii="Times New Roman" w:hAnsi="Times New Roman" w:cs="Times New Roman"/>
                <w:sz w:val="24"/>
                <w:szCs w:val="24"/>
              </w:rPr>
              <w:t>,</w:t>
            </w:r>
            <w:r w:rsidR="00DE4454" w:rsidRPr="00C0186C">
              <w:rPr>
                <w:rFonts w:ascii="Times New Roman" w:hAnsi="Times New Roman" w:cs="Times New Roman"/>
                <w:sz w:val="24"/>
                <w:szCs w:val="24"/>
              </w:rPr>
              <w:t xml:space="preserve"> neujednačena odstupanja demografskih, ekonomskih i fiskalnih pokazatelja </w:t>
            </w:r>
            <w:r w:rsidR="00DF5E4A" w:rsidRPr="00C0186C">
              <w:rPr>
                <w:rFonts w:ascii="Times New Roman" w:hAnsi="Times New Roman" w:cs="Times New Roman"/>
                <w:sz w:val="24"/>
                <w:szCs w:val="24"/>
              </w:rPr>
              <w:t>pojedin</w:t>
            </w:r>
            <w:r w:rsidR="00D67866" w:rsidRPr="00C0186C">
              <w:rPr>
                <w:rFonts w:ascii="Times New Roman" w:hAnsi="Times New Roman" w:cs="Times New Roman"/>
                <w:sz w:val="24"/>
                <w:szCs w:val="24"/>
              </w:rPr>
              <w:t>og</w:t>
            </w:r>
            <w:r w:rsidR="00DF5E4A" w:rsidRPr="00C0186C">
              <w:rPr>
                <w:rFonts w:ascii="Times New Roman" w:hAnsi="Times New Roman" w:cs="Times New Roman"/>
                <w:sz w:val="24"/>
                <w:szCs w:val="24"/>
              </w:rPr>
              <w:t xml:space="preserve"> </w:t>
            </w:r>
            <w:r w:rsidR="007038CF" w:rsidRPr="00C0186C">
              <w:rPr>
                <w:rFonts w:ascii="Times New Roman" w:hAnsi="Times New Roman" w:cs="Times New Roman"/>
                <w:sz w:val="24"/>
                <w:szCs w:val="24"/>
              </w:rPr>
              <w:t>JLS</w:t>
            </w:r>
            <w:r w:rsidR="00D67866" w:rsidRPr="00C0186C">
              <w:rPr>
                <w:rFonts w:ascii="Times New Roman" w:hAnsi="Times New Roman" w:cs="Times New Roman"/>
                <w:sz w:val="24"/>
                <w:szCs w:val="24"/>
              </w:rPr>
              <w:t>-a</w:t>
            </w:r>
            <w:r w:rsidR="00DF5E4A" w:rsidRPr="00C0186C">
              <w:rPr>
                <w:rFonts w:ascii="Times New Roman" w:hAnsi="Times New Roman" w:cs="Times New Roman"/>
                <w:sz w:val="24"/>
                <w:szCs w:val="24"/>
              </w:rPr>
              <w:t xml:space="preserve"> </w:t>
            </w:r>
            <w:r w:rsidR="00DE4454" w:rsidRPr="00C0186C">
              <w:rPr>
                <w:rFonts w:ascii="Times New Roman" w:hAnsi="Times New Roman" w:cs="Times New Roman"/>
                <w:sz w:val="24"/>
                <w:szCs w:val="24"/>
              </w:rPr>
              <w:t xml:space="preserve">u odnosu </w:t>
            </w:r>
            <w:r w:rsidR="00DF5E4A" w:rsidRPr="00C0186C">
              <w:rPr>
                <w:rFonts w:ascii="Times New Roman" w:hAnsi="Times New Roman" w:cs="Times New Roman"/>
                <w:sz w:val="24"/>
                <w:szCs w:val="24"/>
              </w:rPr>
              <w:t xml:space="preserve">na </w:t>
            </w:r>
            <w:r w:rsidR="00DE4454" w:rsidRPr="00C0186C">
              <w:rPr>
                <w:rFonts w:ascii="Times New Roman" w:hAnsi="Times New Roman" w:cs="Times New Roman"/>
                <w:sz w:val="24"/>
                <w:szCs w:val="24"/>
              </w:rPr>
              <w:t>prosječna kretanja na lokalnoj razini imaju negativnu konotaciju</w:t>
            </w:r>
            <w:r w:rsidR="00DF5E4A" w:rsidRPr="00C0186C">
              <w:rPr>
                <w:rFonts w:ascii="Times New Roman" w:hAnsi="Times New Roman" w:cs="Times New Roman"/>
                <w:sz w:val="24"/>
                <w:szCs w:val="24"/>
              </w:rPr>
              <w:t xml:space="preserve">, odnosno </w:t>
            </w:r>
            <w:r w:rsidR="00DE4454" w:rsidRPr="00C0186C">
              <w:rPr>
                <w:rFonts w:ascii="Times New Roman" w:hAnsi="Times New Roman" w:cs="Times New Roman"/>
                <w:sz w:val="24"/>
                <w:szCs w:val="24"/>
              </w:rPr>
              <w:t>umanjuju vrijednost njezinog indeksa razvijenosti.</w:t>
            </w:r>
            <w:r w:rsidR="00DF5E4A" w:rsidRPr="00C0186C">
              <w:rPr>
                <w:rFonts w:ascii="Times New Roman" w:hAnsi="Times New Roman" w:cs="Times New Roman"/>
                <w:sz w:val="24"/>
                <w:szCs w:val="24"/>
              </w:rPr>
              <w:t xml:space="preserve"> To je posebno važno u kontekst</w:t>
            </w:r>
            <w:r w:rsidR="00D67866" w:rsidRPr="00C0186C">
              <w:rPr>
                <w:rFonts w:ascii="Times New Roman" w:hAnsi="Times New Roman" w:cs="Times New Roman"/>
                <w:sz w:val="24"/>
                <w:szCs w:val="24"/>
              </w:rPr>
              <w:t>u</w:t>
            </w:r>
            <w:r w:rsidR="00DF5E4A" w:rsidRPr="00C0186C">
              <w:rPr>
                <w:rFonts w:ascii="Times New Roman" w:hAnsi="Times New Roman" w:cs="Times New Roman"/>
                <w:sz w:val="24"/>
                <w:szCs w:val="24"/>
              </w:rPr>
              <w:t xml:space="preserve"> mjerenja održivog gospodarskog i društvenog razvoj</w:t>
            </w:r>
            <w:r w:rsidR="00D67866" w:rsidRPr="00C0186C">
              <w:rPr>
                <w:rFonts w:ascii="Times New Roman" w:hAnsi="Times New Roman" w:cs="Times New Roman"/>
                <w:sz w:val="24"/>
                <w:szCs w:val="24"/>
              </w:rPr>
              <w:t>a</w:t>
            </w:r>
            <w:r w:rsidR="00DF5E4A" w:rsidRPr="00C0186C">
              <w:rPr>
                <w:rFonts w:ascii="Times New Roman" w:hAnsi="Times New Roman" w:cs="Times New Roman"/>
                <w:sz w:val="24"/>
                <w:szCs w:val="24"/>
              </w:rPr>
              <w:t xml:space="preserve"> jer se time zapravo </w:t>
            </w:r>
            <w:r w:rsidRPr="00C0186C">
              <w:rPr>
                <w:rFonts w:ascii="Times New Roman" w:hAnsi="Times New Roman" w:cs="Times New Roman"/>
                <w:sz w:val="24"/>
                <w:szCs w:val="24"/>
              </w:rPr>
              <w:t xml:space="preserve">pretpostavlja da pozitivni pomaci u demografskom razvoju </w:t>
            </w:r>
            <w:r w:rsidR="007038CF" w:rsidRPr="00C0186C">
              <w:rPr>
                <w:rFonts w:ascii="Times New Roman" w:hAnsi="Times New Roman" w:cs="Times New Roman"/>
                <w:sz w:val="24"/>
                <w:szCs w:val="24"/>
              </w:rPr>
              <w:t>JLS</w:t>
            </w:r>
            <w:r w:rsidR="00D67866" w:rsidRPr="00C0186C">
              <w:rPr>
                <w:rFonts w:ascii="Times New Roman" w:hAnsi="Times New Roman" w:cs="Times New Roman"/>
                <w:sz w:val="24"/>
                <w:szCs w:val="24"/>
              </w:rPr>
              <w:t>-ova</w:t>
            </w:r>
            <w:r w:rsidRPr="00C0186C">
              <w:rPr>
                <w:rFonts w:ascii="Times New Roman" w:hAnsi="Times New Roman" w:cs="Times New Roman"/>
                <w:sz w:val="24"/>
                <w:szCs w:val="24"/>
              </w:rPr>
              <w:t xml:space="preserve"> moraju biti u funkciji njihovog </w:t>
            </w:r>
            <w:r w:rsidR="00DF5E4A" w:rsidRPr="00C0186C">
              <w:rPr>
                <w:rFonts w:ascii="Times New Roman" w:hAnsi="Times New Roman" w:cs="Times New Roman"/>
                <w:sz w:val="24"/>
                <w:szCs w:val="24"/>
              </w:rPr>
              <w:t>gospodarskog</w:t>
            </w:r>
            <w:r w:rsidRPr="00C0186C">
              <w:rPr>
                <w:rFonts w:ascii="Times New Roman" w:hAnsi="Times New Roman" w:cs="Times New Roman"/>
                <w:sz w:val="24"/>
                <w:szCs w:val="24"/>
              </w:rPr>
              <w:t xml:space="preserve"> razvoja i obrnuto.</w:t>
            </w:r>
          </w:p>
        </w:tc>
      </w:tr>
      <w:tr w:rsidR="00CF59E3" w:rsidRPr="00C0186C" w14:paraId="3E556948" w14:textId="77777777" w:rsidTr="00D32164">
        <w:trPr>
          <w:trHeight w:val="300"/>
        </w:trPr>
        <w:tc>
          <w:tcPr>
            <w:tcW w:w="2547" w:type="dxa"/>
            <w:shd w:val="clear" w:color="auto" w:fill="DEEAF6" w:themeFill="accent1" w:themeFillTint="33"/>
            <w:noWrap/>
            <w:vAlign w:val="center"/>
          </w:tcPr>
          <w:p w14:paraId="7AAE8EDE" w14:textId="77777777" w:rsidR="00CF59E3" w:rsidRPr="00C0186C" w:rsidRDefault="00CF59E3" w:rsidP="00B70EE8">
            <w:pPr>
              <w:spacing w:before="0"/>
              <w:rPr>
                <w:rFonts w:ascii="Times New Roman" w:eastAsia="Calibri" w:hAnsi="Times New Roman" w:cs="Times New Roman"/>
                <w:b/>
                <w:bCs/>
                <w:sz w:val="24"/>
                <w:szCs w:val="24"/>
              </w:rPr>
            </w:pPr>
            <w:r w:rsidRPr="00C0186C">
              <w:rPr>
                <w:rFonts w:ascii="Times New Roman" w:eastAsia="Calibri" w:hAnsi="Times New Roman" w:cs="Times New Roman"/>
                <w:b/>
                <w:bCs/>
                <w:sz w:val="24"/>
                <w:szCs w:val="24"/>
              </w:rPr>
              <w:t xml:space="preserve">Pokazatelji ishoda </w:t>
            </w:r>
          </w:p>
        </w:tc>
        <w:tc>
          <w:tcPr>
            <w:tcW w:w="7115" w:type="dxa"/>
            <w:shd w:val="clear" w:color="auto" w:fill="DEEAF6" w:themeFill="accent1" w:themeFillTint="33"/>
            <w:noWrap/>
            <w:vAlign w:val="center"/>
          </w:tcPr>
          <w:p w14:paraId="15ABC400" w14:textId="77777777" w:rsidR="009F63EA" w:rsidRPr="00C0186C" w:rsidRDefault="009F63EA" w:rsidP="00B70EE8">
            <w:pPr>
              <w:spacing w:before="0" w:after="0"/>
              <w:jc w:val="both"/>
              <w:rPr>
                <w:rFonts w:ascii="Times New Roman" w:eastAsia="Times New Roman" w:hAnsi="Times New Roman" w:cs="Times New Roman"/>
                <w:sz w:val="24"/>
                <w:szCs w:val="24"/>
                <w:lang w:eastAsia="hr-HR"/>
              </w:rPr>
            </w:pPr>
            <w:r w:rsidRPr="00C0186C">
              <w:rPr>
                <w:rFonts w:ascii="Times New Roman" w:eastAsia="Times New Roman" w:hAnsi="Times New Roman" w:cs="Times New Roman"/>
                <w:sz w:val="24"/>
                <w:szCs w:val="24"/>
                <w:lang w:eastAsia="hr-HR"/>
              </w:rPr>
              <w:t>Budući da su predložene mjere u okvir</w:t>
            </w:r>
            <w:r w:rsidR="00D67866" w:rsidRPr="00C0186C">
              <w:rPr>
                <w:rFonts w:ascii="Times New Roman" w:eastAsia="Times New Roman" w:hAnsi="Times New Roman" w:cs="Times New Roman"/>
                <w:sz w:val="24"/>
                <w:szCs w:val="24"/>
                <w:lang w:eastAsia="hr-HR"/>
              </w:rPr>
              <w:t>u</w:t>
            </w:r>
            <w:r w:rsidRPr="00C0186C">
              <w:rPr>
                <w:rFonts w:ascii="Times New Roman" w:eastAsia="Times New Roman" w:hAnsi="Times New Roman" w:cs="Times New Roman"/>
                <w:sz w:val="24"/>
                <w:szCs w:val="24"/>
                <w:lang w:eastAsia="hr-HR"/>
              </w:rPr>
              <w:t xml:space="preserve"> cilja 2. usmjerene na različite kontingente stanovništva, u nastavku su predloženi pokazatelji očekivanih ishoda za svaku mjeru zasebno.</w:t>
            </w:r>
          </w:p>
          <w:p w14:paraId="798AF675" w14:textId="77777777" w:rsidR="009F63EA" w:rsidRPr="00C0186C" w:rsidRDefault="009F63EA" w:rsidP="00B70EE8">
            <w:pPr>
              <w:spacing w:before="0" w:after="0"/>
              <w:jc w:val="both"/>
              <w:rPr>
                <w:rFonts w:ascii="Times New Roman" w:eastAsia="Times New Roman" w:hAnsi="Times New Roman" w:cs="Times New Roman"/>
                <w:b/>
                <w:sz w:val="24"/>
                <w:szCs w:val="24"/>
                <w:lang w:eastAsia="hr-HR"/>
              </w:rPr>
            </w:pPr>
          </w:p>
          <w:p w14:paraId="631DEB20" w14:textId="77777777" w:rsidR="009F63EA" w:rsidRPr="00C0186C" w:rsidRDefault="009F63EA" w:rsidP="001630CD">
            <w:pPr>
              <w:spacing w:before="0" w:after="120"/>
              <w:rPr>
                <w:rFonts w:ascii="Times New Roman" w:hAnsi="Times New Roman" w:cs="Times New Roman"/>
                <w:b/>
                <w:sz w:val="24"/>
                <w:szCs w:val="24"/>
              </w:rPr>
            </w:pPr>
            <w:r w:rsidRPr="00C0186C">
              <w:rPr>
                <w:rFonts w:ascii="Times New Roman" w:hAnsi="Times New Roman" w:cs="Times New Roman"/>
                <w:b/>
                <w:sz w:val="24"/>
                <w:szCs w:val="24"/>
              </w:rPr>
              <w:t>Mjera</w:t>
            </w:r>
            <w:r w:rsidRPr="00C0186C">
              <w:rPr>
                <w:rFonts w:ascii="Times New Roman" w:hAnsi="Times New Roman" w:cs="Times New Roman"/>
                <w:sz w:val="24"/>
                <w:szCs w:val="24"/>
              </w:rPr>
              <w:t xml:space="preserve"> </w:t>
            </w:r>
            <w:r w:rsidRPr="00C0186C">
              <w:rPr>
                <w:rFonts w:ascii="Times New Roman" w:hAnsi="Times New Roman" w:cs="Times New Roman"/>
                <w:b/>
                <w:sz w:val="24"/>
                <w:szCs w:val="24"/>
              </w:rPr>
              <w:t xml:space="preserve">2.1. </w:t>
            </w:r>
            <w:r w:rsidR="00C96BA4" w:rsidRPr="00C0186C">
              <w:rPr>
                <w:rFonts w:ascii="Times New Roman" w:hAnsi="Times New Roman" w:cs="Times New Roman"/>
                <w:b/>
                <w:sz w:val="24"/>
                <w:szCs w:val="24"/>
              </w:rPr>
              <w:t>Zadržavanje postojećeg i povrat iseljenog stanovništva te doseljavanje novog stanovništva</w:t>
            </w:r>
            <w:r w:rsidRPr="00C0186C">
              <w:rPr>
                <w:rFonts w:ascii="Times New Roman" w:hAnsi="Times New Roman" w:cs="Times New Roman"/>
                <w:b/>
                <w:sz w:val="24"/>
                <w:szCs w:val="24"/>
              </w:rPr>
              <w:t>:</w:t>
            </w:r>
          </w:p>
          <w:p w14:paraId="0DD217F3" w14:textId="77777777" w:rsidR="00701F25" w:rsidRPr="00C0186C" w:rsidRDefault="009F63EA" w:rsidP="00B70EE8">
            <w:pPr>
              <w:pStyle w:val="ListParagraph"/>
              <w:numPr>
                <w:ilvl w:val="0"/>
                <w:numId w:val="15"/>
              </w:numPr>
              <w:spacing w:before="0" w:after="120"/>
              <w:contextualSpacing w:val="0"/>
              <w:jc w:val="both"/>
              <w:rPr>
                <w:rFonts w:ascii="Times New Roman" w:hAnsi="Times New Roman" w:cs="Times New Roman"/>
                <w:sz w:val="24"/>
                <w:szCs w:val="24"/>
              </w:rPr>
            </w:pPr>
            <w:r w:rsidRPr="00C0186C">
              <w:rPr>
                <w:rFonts w:ascii="Times New Roman" w:hAnsi="Times New Roman" w:cs="Times New Roman"/>
                <w:sz w:val="24"/>
                <w:szCs w:val="24"/>
              </w:rPr>
              <w:t>Ishod 1 - Povećanje broja mladog stanovništva</w:t>
            </w:r>
          </w:p>
          <w:p w14:paraId="4FED7947" w14:textId="77777777" w:rsidR="009F63EA" w:rsidRPr="00C0186C" w:rsidRDefault="00225192" w:rsidP="00B70EE8">
            <w:pPr>
              <w:pStyle w:val="ListParagraph"/>
              <w:numPr>
                <w:ilvl w:val="0"/>
                <w:numId w:val="17"/>
              </w:numPr>
              <w:spacing w:before="0" w:after="120"/>
              <w:contextualSpacing w:val="0"/>
              <w:jc w:val="both"/>
              <w:rPr>
                <w:rFonts w:ascii="Times New Roman" w:hAnsi="Times New Roman" w:cs="Times New Roman"/>
                <w:sz w:val="24"/>
                <w:szCs w:val="24"/>
              </w:rPr>
            </w:pPr>
            <w:r w:rsidRPr="00C0186C">
              <w:rPr>
                <w:rFonts w:ascii="Times New Roman" w:hAnsi="Times New Roman" w:cs="Times New Roman"/>
                <w:sz w:val="24"/>
                <w:szCs w:val="24"/>
              </w:rPr>
              <w:t>Primarni pokazatelji praćenja ostvarenja ovog ishoda zapravo su izravno vezani uz prethodno opisane pokazatelje učinka koji se odnose na populacijsko kretanje stanovništva i to posebno migracijske komponente.</w:t>
            </w:r>
          </w:p>
          <w:p w14:paraId="645274E1" w14:textId="77777777" w:rsidR="00225192" w:rsidRPr="00C0186C" w:rsidRDefault="00225192" w:rsidP="00B70EE8">
            <w:pPr>
              <w:pStyle w:val="ListParagraph"/>
              <w:numPr>
                <w:ilvl w:val="0"/>
                <w:numId w:val="15"/>
              </w:numPr>
              <w:spacing w:before="0" w:after="120"/>
              <w:contextualSpacing w:val="0"/>
              <w:jc w:val="both"/>
              <w:rPr>
                <w:rFonts w:ascii="Times New Roman" w:hAnsi="Times New Roman" w:cs="Times New Roman"/>
                <w:sz w:val="24"/>
                <w:szCs w:val="24"/>
              </w:rPr>
            </w:pPr>
            <w:r w:rsidRPr="00C0186C">
              <w:rPr>
                <w:rFonts w:ascii="Times New Roman" w:hAnsi="Times New Roman" w:cs="Times New Roman"/>
                <w:sz w:val="24"/>
                <w:szCs w:val="24"/>
              </w:rPr>
              <w:t>Ishod 2 - Povećanje broja kućanstava</w:t>
            </w:r>
          </w:p>
          <w:p w14:paraId="4A5ABEA5" w14:textId="77777777" w:rsidR="00225192" w:rsidRPr="00C0186C" w:rsidRDefault="00225192" w:rsidP="00B70EE8">
            <w:pPr>
              <w:pStyle w:val="ListParagraph"/>
              <w:numPr>
                <w:ilvl w:val="0"/>
                <w:numId w:val="18"/>
              </w:numPr>
              <w:spacing w:before="0" w:after="120"/>
              <w:ind w:left="714" w:hanging="357"/>
              <w:contextualSpacing w:val="0"/>
              <w:jc w:val="both"/>
              <w:rPr>
                <w:rFonts w:ascii="Times New Roman" w:hAnsi="Times New Roman" w:cs="Times New Roman"/>
                <w:b/>
                <w:sz w:val="24"/>
                <w:szCs w:val="24"/>
              </w:rPr>
            </w:pPr>
            <w:proofErr w:type="spellStart"/>
            <w:r w:rsidRPr="00C0186C">
              <w:rPr>
                <w:rFonts w:ascii="Times New Roman" w:hAnsi="Times New Roman" w:cs="Times New Roman"/>
                <w:b/>
                <w:sz w:val="24"/>
                <w:szCs w:val="24"/>
              </w:rPr>
              <w:t>Međupopisna</w:t>
            </w:r>
            <w:proofErr w:type="spellEnd"/>
            <w:r w:rsidRPr="00C0186C">
              <w:rPr>
                <w:rFonts w:ascii="Times New Roman" w:hAnsi="Times New Roman" w:cs="Times New Roman"/>
                <w:b/>
                <w:sz w:val="24"/>
                <w:szCs w:val="24"/>
              </w:rPr>
              <w:t xml:space="preserve"> promjena broja kućanstava u </w:t>
            </w:r>
            <w:r w:rsidR="007038CF" w:rsidRPr="00C0186C">
              <w:rPr>
                <w:rFonts w:ascii="Times New Roman" w:hAnsi="Times New Roman" w:cs="Times New Roman"/>
                <w:b/>
                <w:sz w:val="24"/>
                <w:szCs w:val="24"/>
              </w:rPr>
              <w:t>JLS</w:t>
            </w:r>
            <w:r w:rsidR="00C51261" w:rsidRPr="00C0186C">
              <w:rPr>
                <w:rFonts w:ascii="Times New Roman" w:hAnsi="Times New Roman" w:cs="Times New Roman"/>
                <w:b/>
                <w:sz w:val="24"/>
                <w:szCs w:val="24"/>
              </w:rPr>
              <w:t>-ovima</w:t>
            </w:r>
            <w:r w:rsidRPr="00C0186C">
              <w:rPr>
                <w:rFonts w:ascii="Times New Roman" w:hAnsi="Times New Roman" w:cs="Times New Roman"/>
                <w:b/>
                <w:sz w:val="24"/>
                <w:szCs w:val="24"/>
              </w:rPr>
              <w:t xml:space="preserve"> s PP statusom </w:t>
            </w:r>
            <w:r w:rsidR="00A824DE" w:rsidRPr="00C0186C">
              <w:rPr>
                <w:rFonts w:ascii="Times New Roman" w:hAnsi="Times New Roman" w:cs="Times New Roman"/>
                <w:b/>
                <w:sz w:val="24"/>
                <w:szCs w:val="24"/>
              </w:rPr>
              <w:t>i ukupno u PP</w:t>
            </w:r>
            <w:r w:rsidR="00C51261" w:rsidRPr="00C0186C">
              <w:rPr>
                <w:rFonts w:ascii="Times New Roman" w:hAnsi="Times New Roman" w:cs="Times New Roman"/>
                <w:b/>
                <w:sz w:val="24"/>
                <w:szCs w:val="24"/>
              </w:rPr>
              <w:t>-u</w:t>
            </w:r>
            <w:r w:rsidR="00A824DE" w:rsidRPr="00C0186C">
              <w:rPr>
                <w:rFonts w:ascii="Times New Roman" w:hAnsi="Times New Roman" w:cs="Times New Roman"/>
                <w:b/>
                <w:sz w:val="24"/>
                <w:szCs w:val="24"/>
              </w:rPr>
              <w:t xml:space="preserve"> prema skupinama razvijenosti </w:t>
            </w:r>
            <w:r w:rsidRPr="00C0186C">
              <w:rPr>
                <w:rFonts w:ascii="Times New Roman" w:hAnsi="Times New Roman" w:cs="Times New Roman"/>
                <w:sz w:val="24"/>
                <w:szCs w:val="24"/>
              </w:rPr>
              <w:t>(izvor: Popis stanovništva 2011. i Popis stanovništva 2021.)</w:t>
            </w:r>
          </w:p>
          <w:p w14:paraId="165090CB" w14:textId="1FD82AC6" w:rsidR="00701F25" w:rsidRPr="00C0186C" w:rsidRDefault="00701F25" w:rsidP="00B70EE8">
            <w:pPr>
              <w:pStyle w:val="ListParagraph"/>
              <w:numPr>
                <w:ilvl w:val="0"/>
                <w:numId w:val="15"/>
              </w:numPr>
              <w:spacing w:before="0" w:after="120"/>
              <w:ind w:left="714" w:hanging="357"/>
              <w:contextualSpacing w:val="0"/>
              <w:jc w:val="both"/>
              <w:rPr>
                <w:rFonts w:ascii="Times New Roman" w:hAnsi="Times New Roman" w:cs="Times New Roman"/>
                <w:sz w:val="24"/>
                <w:szCs w:val="24"/>
              </w:rPr>
            </w:pPr>
            <w:r w:rsidRPr="00C0186C">
              <w:rPr>
                <w:rFonts w:ascii="Times New Roman" w:hAnsi="Times New Roman" w:cs="Times New Roman"/>
                <w:sz w:val="24"/>
                <w:szCs w:val="24"/>
              </w:rPr>
              <w:t xml:space="preserve">Ishod 3 </w:t>
            </w:r>
            <w:r w:rsidR="00666FBC">
              <w:rPr>
                <w:rFonts w:ascii="Times New Roman" w:hAnsi="Times New Roman" w:cs="Times New Roman"/>
                <w:sz w:val="24"/>
                <w:szCs w:val="24"/>
              </w:rPr>
              <w:t xml:space="preserve">- </w:t>
            </w:r>
            <w:r w:rsidRPr="00C0186C">
              <w:rPr>
                <w:rFonts w:ascii="Times New Roman" w:hAnsi="Times New Roman" w:cs="Times New Roman"/>
                <w:sz w:val="24"/>
                <w:szCs w:val="24"/>
              </w:rPr>
              <w:t>Povećanje kvalitete života i dostupnosti lokalnih sadržaja i usluga</w:t>
            </w:r>
          </w:p>
          <w:p w14:paraId="2BCF6ED9" w14:textId="77777777" w:rsidR="00701F25" w:rsidRPr="00C0186C" w:rsidRDefault="00701F25" w:rsidP="00B70EE8">
            <w:pPr>
              <w:pStyle w:val="ListParagraph"/>
              <w:numPr>
                <w:ilvl w:val="0"/>
                <w:numId w:val="16"/>
              </w:numPr>
              <w:spacing w:before="0" w:after="120"/>
              <w:ind w:left="714" w:hanging="357"/>
              <w:contextualSpacing w:val="0"/>
              <w:jc w:val="both"/>
              <w:rPr>
                <w:rFonts w:ascii="Times New Roman" w:hAnsi="Times New Roman" w:cs="Times New Roman"/>
                <w:sz w:val="24"/>
                <w:szCs w:val="24"/>
              </w:rPr>
            </w:pPr>
            <w:r w:rsidRPr="00C0186C">
              <w:rPr>
                <w:rFonts w:ascii="Times New Roman" w:hAnsi="Times New Roman" w:cs="Times New Roman"/>
                <w:sz w:val="24"/>
                <w:szCs w:val="24"/>
              </w:rPr>
              <w:t xml:space="preserve">S obzirom na to da za mjerenje ostvarenja ovog ishoda nisu dostupni pokazatelji koji se temelje na kvalitetnim izvorima i redovitom statističkom izvještavanju, preporuka je da se u tu svrhu pripremi poseban statistički obrazac prema izvještajnoj metodi sa razrađenim kriterijima kategorizacije i praćenja broja lokalnih sadržaja prema tipu njihove namjene, uključujući odabrane kriterije i aspekte valorizacije kvalitete života u </w:t>
            </w:r>
            <w:r w:rsidR="007038CF" w:rsidRPr="00C0186C">
              <w:rPr>
                <w:rFonts w:ascii="Times New Roman" w:hAnsi="Times New Roman" w:cs="Times New Roman"/>
                <w:sz w:val="24"/>
                <w:szCs w:val="24"/>
              </w:rPr>
              <w:t>JLS</w:t>
            </w:r>
            <w:r w:rsidR="00C51261" w:rsidRPr="00C0186C">
              <w:rPr>
                <w:rFonts w:ascii="Times New Roman" w:hAnsi="Times New Roman" w:cs="Times New Roman"/>
                <w:sz w:val="24"/>
                <w:szCs w:val="24"/>
              </w:rPr>
              <w:t>-ovima</w:t>
            </w:r>
            <w:r w:rsidRPr="00C0186C">
              <w:rPr>
                <w:rFonts w:ascii="Times New Roman" w:hAnsi="Times New Roman" w:cs="Times New Roman"/>
                <w:sz w:val="24"/>
                <w:szCs w:val="24"/>
              </w:rPr>
              <w:t xml:space="preserve"> sa statusom PP</w:t>
            </w:r>
            <w:r w:rsidR="00C51261" w:rsidRPr="00C0186C">
              <w:rPr>
                <w:rFonts w:ascii="Times New Roman" w:hAnsi="Times New Roman" w:cs="Times New Roman"/>
                <w:sz w:val="24"/>
                <w:szCs w:val="24"/>
              </w:rPr>
              <w:t>-a</w:t>
            </w:r>
            <w:r w:rsidRPr="00C0186C">
              <w:rPr>
                <w:rFonts w:ascii="Times New Roman" w:hAnsi="Times New Roman" w:cs="Times New Roman"/>
                <w:sz w:val="24"/>
                <w:szCs w:val="24"/>
              </w:rPr>
              <w:t>.</w:t>
            </w:r>
          </w:p>
          <w:p w14:paraId="4FDC5006" w14:textId="77777777" w:rsidR="009F63EA" w:rsidRPr="00C0186C" w:rsidRDefault="009F63EA" w:rsidP="00B70EE8">
            <w:pPr>
              <w:pStyle w:val="ListParagraph"/>
              <w:numPr>
                <w:ilvl w:val="0"/>
                <w:numId w:val="15"/>
              </w:numPr>
              <w:spacing w:before="0" w:after="120"/>
              <w:contextualSpacing w:val="0"/>
              <w:jc w:val="both"/>
              <w:rPr>
                <w:rFonts w:ascii="Times New Roman" w:hAnsi="Times New Roman" w:cs="Times New Roman"/>
                <w:sz w:val="24"/>
                <w:szCs w:val="24"/>
              </w:rPr>
            </w:pPr>
            <w:r w:rsidRPr="00C0186C">
              <w:rPr>
                <w:rFonts w:ascii="Times New Roman" w:hAnsi="Times New Roman" w:cs="Times New Roman"/>
                <w:sz w:val="24"/>
                <w:szCs w:val="24"/>
              </w:rPr>
              <w:t xml:space="preserve">Ishod </w:t>
            </w:r>
            <w:r w:rsidR="00701F25" w:rsidRPr="00C0186C">
              <w:rPr>
                <w:rFonts w:ascii="Times New Roman" w:hAnsi="Times New Roman" w:cs="Times New Roman"/>
                <w:sz w:val="24"/>
                <w:szCs w:val="24"/>
              </w:rPr>
              <w:t>4</w:t>
            </w:r>
            <w:r w:rsidRPr="00C0186C">
              <w:rPr>
                <w:rFonts w:ascii="Times New Roman" w:hAnsi="Times New Roman" w:cs="Times New Roman"/>
                <w:sz w:val="24"/>
                <w:szCs w:val="24"/>
              </w:rPr>
              <w:t xml:space="preserve"> - Povećanje obrazovnih mogućnosti za </w:t>
            </w:r>
            <w:r w:rsidR="00701F25" w:rsidRPr="00C0186C">
              <w:rPr>
                <w:rFonts w:ascii="Times New Roman" w:hAnsi="Times New Roman" w:cs="Times New Roman"/>
                <w:sz w:val="24"/>
                <w:szCs w:val="24"/>
              </w:rPr>
              <w:t>lokalno stanovništvo</w:t>
            </w:r>
            <w:r w:rsidRPr="00C0186C">
              <w:rPr>
                <w:rFonts w:ascii="Times New Roman" w:hAnsi="Times New Roman" w:cs="Times New Roman"/>
                <w:sz w:val="24"/>
                <w:szCs w:val="24"/>
              </w:rPr>
              <w:t xml:space="preserve"> </w:t>
            </w:r>
          </w:p>
          <w:p w14:paraId="51F6E42C" w14:textId="34B9FD66" w:rsidR="009F63EA" w:rsidRPr="00C0186C" w:rsidRDefault="009F63EA" w:rsidP="00B70EE8">
            <w:pPr>
              <w:pStyle w:val="ListParagraph"/>
              <w:numPr>
                <w:ilvl w:val="0"/>
                <w:numId w:val="21"/>
              </w:numPr>
              <w:spacing w:before="0" w:after="120"/>
              <w:contextualSpacing w:val="0"/>
              <w:jc w:val="both"/>
              <w:rPr>
                <w:rFonts w:ascii="Times New Roman" w:hAnsi="Times New Roman" w:cs="Times New Roman"/>
                <w:b/>
                <w:sz w:val="24"/>
                <w:szCs w:val="24"/>
              </w:rPr>
            </w:pPr>
            <w:r w:rsidRPr="00C0186C">
              <w:rPr>
                <w:rFonts w:ascii="Times New Roman" w:hAnsi="Times New Roman" w:cs="Times New Roman"/>
                <w:b/>
                <w:sz w:val="24"/>
                <w:szCs w:val="24"/>
              </w:rPr>
              <w:t>Broj programa i polaznika</w:t>
            </w:r>
            <w:r w:rsidR="004F2BEA" w:rsidRPr="00C0186C">
              <w:rPr>
                <w:rFonts w:ascii="Times New Roman" w:hAnsi="Times New Roman" w:cs="Times New Roman"/>
                <w:b/>
                <w:sz w:val="24"/>
                <w:szCs w:val="24"/>
              </w:rPr>
              <w:t xml:space="preserve"> te kvaliteta</w:t>
            </w:r>
            <w:r w:rsidRPr="00C0186C">
              <w:rPr>
                <w:rFonts w:ascii="Times New Roman" w:hAnsi="Times New Roman" w:cs="Times New Roman"/>
                <w:b/>
                <w:sz w:val="24"/>
                <w:szCs w:val="24"/>
              </w:rPr>
              <w:t xml:space="preserve"> sekundarnog obrazovanja u ponudi u srednjim školama prema vrstama </w:t>
            </w:r>
            <w:r w:rsidRPr="00C0186C">
              <w:rPr>
                <w:rFonts w:ascii="Times New Roman" w:hAnsi="Times New Roman" w:cs="Times New Roman"/>
                <w:sz w:val="24"/>
                <w:szCs w:val="24"/>
              </w:rPr>
              <w:t>(izvor: podaci srednjih škola/podaci odjela za obrazovanje grada</w:t>
            </w:r>
            <w:r w:rsidR="004F2BEA" w:rsidRPr="00C0186C">
              <w:rPr>
                <w:rFonts w:ascii="Times New Roman" w:hAnsi="Times New Roman" w:cs="Times New Roman"/>
                <w:sz w:val="24"/>
                <w:szCs w:val="24"/>
              </w:rPr>
              <w:t>, međunarodna istraživanja - PISA</w:t>
            </w:r>
            <w:r w:rsidRPr="00C0186C">
              <w:rPr>
                <w:rFonts w:ascii="Times New Roman" w:hAnsi="Times New Roman" w:cs="Times New Roman"/>
                <w:sz w:val="24"/>
                <w:szCs w:val="24"/>
              </w:rPr>
              <w:t>)</w:t>
            </w:r>
          </w:p>
          <w:p w14:paraId="079C5EB4" w14:textId="426B5BF6" w:rsidR="009F63EA" w:rsidRPr="00C0186C" w:rsidRDefault="009F63EA" w:rsidP="00B70EE8">
            <w:pPr>
              <w:pStyle w:val="ListParagraph"/>
              <w:numPr>
                <w:ilvl w:val="0"/>
                <w:numId w:val="21"/>
              </w:numPr>
              <w:spacing w:before="0" w:after="120"/>
              <w:contextualSpacing w:val="0"/>
              <w:jc w:val="both"/>
              <w:rPr>
                <w:rFonts w:ascii="Times New Roman" w:hAnsi="Times New Roman" w:cs="Times New Roman"/>
                <w:b/>
                <w:sz w:val="24"/>
                <w:szCs w:val="24"/>
              </w:rPr>
            </w:pPr>
            <w:r w:rsidRPr="00C0186C">
              <w:rPr>
                <w:rFonts w:ascii="Times New Roman" w:hAnsi="Times New Roman" w:cs="Times New Roman"/>
                <w:b/>
                <w:sz w:val="24"/>
                <w:szCs w:val="24"/>
              </w:rPr>
              <w:t xml:space="preserve">Broj programa i polaznika visokog obrazovanja u ponudi na području </w:t>
            </w:r>
            <w:r w:rsidR="007038CF" w:rsidRPr="00C0186C">
              <w:rPr>
                <w:rFonts w:ascii="Times New Roman" w:hAnsi="Times New Roman" w:cs="Times New Roman"/>
                <w:b/>
                <w:sz w:val="24"/>
                <w:szCs w:val="24"/>
              </w:rPr>
              <w:t>JLS</w:t>
            </w:r>
            <w:r w:rsidR="00C51261" w:rsidRPr="00C0186C">
              <w:rPr>
                <w:rFonts w:ascii="Times New Roman" w:hAnsi="Times New Roman" w:cs="Times New Roman"/>
                <w:b/>
                <w:sz w:val="24"/>
                <w:szCs w:val="24"/>
              </w:rPr>
              <w:t>-a</w:t>
            </w:r>
            <w:r w:rsidRPr="00C0186C">
              <w:rPr>
                <w:rFonts w:ascii="Times New Roman" w:hAnsi="Times New Roman" w:cs="Times New Roman"/>
                <w:b/>
                <w:sz w:val="24"/>
                <w:szCs w:val="24"/>
              </w:rPr>
              <w:t xml:space="preserve"> sa statusom PP</w:t>
            </w:r>
            <w:r w:rsidR="00C51261" w:rsidRPr="00C0186C">
              <w:rPr>
                <w:rFonts w:ascii="Times New Roman" w:hAnsi="Times New Roman" w:cs="Times New Roman"/>
                <w:b/>
                <w:sz w:val="24"/>
                <w:szCs w:val="24"/>
              </w:rPr>
              <w:t>-a</w:t>
            </w:r>
            <w:r w:rsidRPr="00C0186C">
              <w:rPr>
                <w:rFonts w:ascii="Times New Roman" w:hAnsi="Times New Roman" w:cs="Times New Roman"/>
                <w:b/>
                <w:sz w:val="24"/>
                <w:szCs w:val="24"/>
              </w:rPr>
              <w:t xml:space="preserve"> prema vrstama </w:t>
            </w:r>
            <w:r w:rsidRPr="00C0186C">
              <w:rPr>
                <w:rFonts w:ascii="Times New Roman" w:hAnsi="Times New Roman" w:cs="Times New Roman"/>
                <w:sz w:val="24"/>
                <w:szCs w:val="24"/>
              </w:rPr>
              <w:t>(izvor: podaci fakulteta, veleučilišta i visokih škola)</w:t>
            </w:r>
          </w:p>
          <w:p w14:paraId="14E9D664" w14:textId="77777777" w:rsidR="009F63EA" w:rsidRPr="00C0186C" w:rsidRDefault="00B56D01" w:rsidP="00B70EE8">
            <w:pPr>
              <w:pStyle w:val="ListParagraph"/>
              <w:numPr>
                <w:ilvl w:val="0"/>
                <w:numId w:val="21"/>
              </w:numPr>
              <w:spacing w:before="0" w:after="120"/>
              <w:contextualSpacing w:val="0"/>
              <w:jc w:val="both"/>
              <w:rPr>
                <w:rFonts w:ascii="Times New Roman" w:hAnsi="Times New Roman" w:cs="Times New Roman"/>
                <w:sz w:val="24"/>
                <w:szCs w:val="24"/>
              </w:rPr>
            </w:pPr>
            <w:r w:rsidRPr="00C0186C">
              <w:rPr>
                <w:rFonts w:ascii="Times New Roman" w:hAnsi="Times New Roman" w:cs="Times New Roman"/>
                <w:b/>
                <w:bCs/>
                <w:sz w:val="24"/>
                <w:szCs w:val="24"/>
              </w:rPr>
              <w:t>Broj programa i polaznika cjeloživotnog obrazovanja na području JLS</w:t>
            </w:r>
            <w:r w:rsidR="00C51261" w:rsidRPr="00C0186C">
              <w:rPr>
                <w:rFonts w:ascii="Times New Roman" w:hAnsi="Times New Roman" w:cs="Times New Roman"/>
                <w:b/>
                <w:bCs/>
                <w:sz w:val="24"/>
                <w:szCs w:val="24"/>
              </w:rPr>
              <w:t>-ova</w:t>
            </w:r>
            <w:r w:rsidRPr="00C0186C">
              <w:rPr>
                <w:rFonts w:ascii="Times New Roman" w:hAnsi="Times New Roman" w:cs="Times New Roman"/>
                <w:b/>
                <w:bCs/>
                <w:sz w:val="24"/>
                <w:szCs w:val="24"/>
              </w:rPr>
              <w:t xml:space="preserve"> sa statusom PP</w:t>
            </w:r>
            <w:r w:rsidR="00C51261" w:rsidRPr="00C0186C">
              <w:rPr>
                <w:rFonts w:ascii="Times New Roman" w:hAnsi="Times New Roman" w:cs="Times New Roman"/>
                <w:b/>
                <w:bCs/>
                <w:sz w:val="24"/>
                <w:szCs w:val="24"/>
              </w:rPr>
              <w:t>-a</w:t>
            </w:r>
            <w:r w:rsidRPr="00C0186C">
              <w:rPr>
                <w:rFonts w:ascii="Times New Roman" w:hAnsi="Times New Roman" w:cs="Times New Roman"/>
                <w:sz w:val="24"/>
                <w:szCs w:val="24"/>
              </w:rPr>
              <w:t xml:space="preserve"> (izvor: podaci ustanova za obrazovanje odraslih, pučka otvorena učilišta, osnovne škole, srednje škole, visoka učilišta, škole stranih jezika, ustanove za smještaj i skrb osoba s posebnim potrebama te penološke i druge ustanove koje provode programe obrazovanja odraslih i koje ispunjavaju uvjete propisane Zakonom o obrazovanju odraslih.</w:t>
            </w:r>
          </w:p>
          <w:p w14:paraId="69D27A3D" w14:textId="40897403" w:rsidR="004D3C97" w:rsidRPr="00C0186C" w:rsidRDefault="009F63EA" w:rsidP="00B70EE8">
            <w:pPr>
              <w:pStyle w:val="ListParagraph"/>
              <w:numPr>
                <w:ilvl w:val="0"/>
                <w:numId w:val="21"/>
              </w:numPr>
              <w:spacing w:before="0"/>
              <w:contextualSpacing w:val="0"/>
              <w:jc w:val="both"/>
              <w:rPr>
                <w:rFonts w:ascii="Times New Roman" w:hAnsi="Times New Roman" w:cs="Times New Roman"/>
                <w:sz w:val="24"/>
                <w:szCs w:val="24"/>
              </w:rPr>
            </w:pPr>
            <w:r w:rsidRPr="00C0186C">
              <w:rPr>
                <w:rFonts w:ascii="Times New Roman" w:hAnsi="Times New Roman" w:cs="Times New Roman"/>
                <w:b/>
                <w:sz w:val="24"/>
                <w:szCs w:val="24"/>
              </w:rPr>
              <w:t xml:space="preserve">Broj </w:t>
            </w:r>
            <w:r w:rsidR="004D3C97" w:rsidRPr="00C0186C">
              <w:rPr>
                <w:rFonts w:ascii="Times New Roman" w:hAnsi="Times New Roman" w:cs="Times New Roman"/>
                <w:b/>
                <w:sz w:val="24"/>
                <w:szCs w:val="24"/>
              </w:rPr>
              <w:t>stanovnika</w:t>
            </w:r>
            <w:r w:rsidRPr="00C0186C">
              <w:rPr>
                <w:rFonts w:ascii="Times New Roman" w:hAnsi="Times New Roman" w:cs="Times New Roman"/>
                <w:b/>
                <w:sz w:val="24"/>
                <w:szCs w:val="24"/>
              </w:rPr>
              <w:t xml:space="preserve"> koji su završili (ili pohađaju) obrazovne programe za deficitarna zanimanja </w:t>
            </w:r>
            <w:r w:rsidRPr="00C0186C">
              <w:rPr>
                <w:rFonts w:ascii="Times New Roman" w:hAnsi="Times New Roman" w:cs="Times New Roman"/>
                <w:sz w:val="24"/>
                <w:szCs w:val="24"/>
              </w:rPr>
              <w:t xml:space="preserve">(izvor: podaci srednjih škola, podaci odjela za obrazovanje u </w:t>
            </w:r>
            <w:r w:rsidR="007038CF" w:rsidRPr="00C0186C">
              <w:rPr>
                <w:rFonts w:ascii="Times New Roman" w:hAnsi="Times New Roman" w:cs="Times New Roman"/>
                <w:sz w:val="24"/>
                <w:szCs w:val="24"/>
              </w:rPr>
              <w:t>JLS</w:t>
            </w:r>
            <w:r w:rsidR="00811660">
              <w:rPr>
                <w:rFonts w:ascii="Times New Roman" w:hAnsi="Times New Roman" w:cs="Times New Roman"/>
                <w:sz w:val="24"/>
                <w:szCs w:val="24"/>
              </w:rPr>
              <w:t>-ovima</w:t>
            </w:r>
            <w:r w:rsidRPr="00C0186C">
              <w:rPr>
                <w:rFonts w:ascii="Times New Roman" w:hAnsi="Times New Roman" w:cs="Times New Roman"/>
                <w:sz w:val="24"/>
                <w:szCs w:val="24"/>
              </w:rPr>
              <w:t>, podaci HZZ</w:t>
            </w:r>
            <w:r w:rsidR="00811660">
              <w:rPr>
                <w:rFonts w:ascii="Times New Roman" w:hAnsi="Times New Roman" w:cs="Times New Roman"/>
                <w:sz w:val="24"/>
                <w:szCs w:val="24"/>
              </w:rPr>
              <w:t>-a</w:t>
            </w:r>
            <w:r w:rsidRPr="00C0186C">
              <w:rPr>
                <w:rFonts w:ascii="Times New Roman" w:hAnsi="Times New Roman" w:cs="Times New Roman"/>
                <w:sz w:val="24"/>
                <w:szCs w:val="24"/>
              </w:rPr>
              <w:t xml:space="preserve"> o deficitarnim zanimanjima)</w:t>
            </w:r>
          </w:p>
          <w:p w14:paraId="4AA8740A" w14:textId="77777777" w:rsidR="004D3C97" w:rsidRPr="00C0186C" w:rsidRDefault="004D3C97" w:rsidP="001630CD">
            <w:pPr>
              <w:spacing w:before="0" w:after="120"/>
              <w:rPr>
                <w:rFonts w:ascii="Times New Roman" w:hAnsi="Times New Roman" w:cs="Times New Roman"/>
                <w:b/>
                <w:sz w:val="24"/>
                <w:szCs w:val="24"/>
              </w:rPr>
            </w:pPr>
            <w:r w:rsidRPr="00C0186C">
              <w:rPr>
                <w:rFonts w:ascii="Times New Roman" w:hAnsi="Times New Roman" w:cs="Times New Roman"/>
                <w:b/>
                <w:sz w:val="24"/>
                <w:szCs w:val="24"/>
              </w:rPr>
              <w:t>Mjera 2.2. Poticanje prirodnog prirasta stanovništva:</w:t>
            </w:r>
          </w:p>
          <w:p w14:paraId="3B788377" w14:textId="77777777" w:rsidR="004D3C97" w:rsidRPr="00C0186C" w:rsidRDefault="004D3C97" w:rsidP="00B70EE8">
            <w:pPr>
              <w:pStyle w:val="ListParagraph"/>
              <w:numPr>
                <w:ilvl w:val="0"/>
                <w:numId w:val="19"/>
              </w:numPr>
              <w:spacing w:before="0" w:after="120"/>
              <w:contextualSpacing w:val="0"/>
              <w:rPr>
                <w:rFonts w:ascii="Times New Roman" w:hAnsi="Times New Roman" w:cs="Times New Roman"/>
                <w:b/>
                <w:sz w:val="24"/>
                <w:szCs w:val="24"/>
              </w:rPr>
            </w:pPr>
            <w:r w:rsidRPr="00C0186C">
              <w:rPr>
                <w:rFonts w:ascii="Times New Roman" w:hAnsi="Times New Roman" w:cs="Times New Roman"/>
                <w:sz w:val="24"/>
                <w:szCs w:val="24"/>
              </w:rPr>
              <w:t>Ishod 1</w:t>
            </w:r>
            <w:r w:rsidRPr="00C0186C">
              <w:rPr>
                <w:rFonts w:ascii="Times New Roman" w:hAnsi="Times New Roman" w:cs="Times New Roman"/>
                <w:b/>
                <w:sz w:val="24"/>
                <w:szCs w:val="24"/>
              </w:rPr>
              <w:t xml:space="preserve"> - </w:t>
            </w:r>
            <w:r w:rsidRPr="00C0186C">
              <w:rPr>
                <w:rFonts w:ascii="Times New Roman" w:hAnsi="Times New Roman" w:cs="Times New Roman"/>
                <w:sz w:val="24"/>
                <w:szCs w:val="24"/>
              </w:rPr>
              <w:t>Povećanje nataliteta i prirodnog prirasta stanovništva</w:t>
            </w:r>
          </w:p>
          <w:p w14:paraId="19585249" w14:textId="77777777" w:rsidR="004D3C97" w:rsidRPr="00C0186C" w:rsidRDefault="004D3C97" w:rsidP="00B70EE8">
            <w:pPr>
              <w:pStyle w:val="ListParagraph"/>
              <w:numPr>
                <w:ilvl w:val="0"/>
                <w:numId w:val="20"/>
              </w:numPr>
              <w:spacing w:before="0" w:after="120"/>
              <w:contextualSpacing w:val="0"/>
              <w:jc w:val="both"/>
              <w:rPr>
                <w:rFonts w:ascii="Times New Roman" w:hAnsi="Times New Roman" w:cs="Times New Roman"/>
                <w:sz w:val="24"/>
                <w:szCs w:val="24"/>
              </w:rPr>
            </w:pPr>
            <w:r w:rsidRPr="00C0186C">
              <w:rPr>
                <w:rFonts w:ascii="Times New Roman" w:hAnsi="Times New Roman" w:cs="Times New Roman"/>
                <w:sz w:val="24"/>
                <w:szCs w:val="24"/>
              </w:rPr>
              <w:t xml:space="preserve">Primarni pokazatelji praćenja ostvarenja ovog ishoda izravno su vezani uz prethodno navedene pokazatelje učinka koji se odnose na prirodnu komponentu ukupnog populacijskog kretanja. </w:t>
            </w:r>
          </w:p>
          <w:p w14:paraId="6C597D21" w14:textId="77777777" w:rsidR="004D3C97" w:rsidRPr="00C0186C" w:rsidRDefault="004D3C97" w:rsidP="00B70EE8">
            <w:pPr>
              <w:pStyle w:val="ListParagraph"/>
              <w:numPr>
                <w:ilvl w:val="0"/>
                <w:numId w:val="22"/>
              </w:numPr>
              <w:spacing w:before="0" w:after="120"/>
              <w:contextualSpacing w:val="0"/>
              <w:jc w:val="both"/>
              <w:rPr>
                <w:rFonts w:ascii="Times New Roman" w:hAnsi="Times New Roman" w:cs="Times New Roman"/>
                <w:sz w:val="24"/>
                <w:szCs w:val="24"/>
              </w:rPr>
            </w:pPr>
            <w:r w:rsidRPr="00C0186C">
              <w:rPr>
                <w:rFonts w:ascii="Times New Roman" w:hAnsi="Times New Roman" w:cs="Times New Roman"/>
                <w:sz w:val="24"/>
                <w:szCs w:val="24"/>
              </w:rPr>
              <w:t>Ishod 2 - Povećanje odgojno-obrazovnih kapaciteta za djecu</w:t>
            </w:r>
          </w:p>
          <w:p w14:paraId="4022472F" w14:textId="219BF5D1" w:rsidR="009F63EA" w:rsidRPr="00C0186C" w:rsidRDefault="004D3C97" w:rsidP="00B70EE8">
            <w:pPr>
              <w:pStyle w:val="ListParagraph"/>
              <w:numPr>
                <w:ilvl w:val="0"/>
                <w:numId w:val="23"/>
              </w:numPr>
              <w:spacing w:before="0"/>
              <w:contextualSpacing w:val="0"/>
              <w:jc w:val="both"/>
              <w:rPr>
                <w:rFonts w:ascii="Times New Roman" w:hAnsi="Times New Roman" w:cs="Times New Roman"/>
                <w:sz w:val="24"/>
                <w:szCs w:val="24"/>
              </w:rPr>
            </w:pPr>
            <w:r w:rsidRPr="00C0186C">
              <w:rPr>
                <w:rFonts w:ascii="Times New Roman" w:hAnsi="Times New Roman" w:cs="Times New Roman"/>
                <w:b/>
                <w:sz w:val="24"/>
                <w:szCs w:val="24"/>
              </w:rPr>
              <w:t>Broj dječjih vrtića i drugi</w:t>
            </w:r>
            <w:r w:rsidR="00C51261" w:rsidRPr="00C0186C">
              <w:rPr>
                <w:rFonts w:ascii="Times New Roman" w:hAnsi="Times New Roman" w:cs="Times New Roman"/>
                <w:b/>
                <w:sz w:val="24"/>
                <w:szCs w:val="24"/>
              </w:rPr>
              <w:t>h</w:t>
            </w:r>
            <w:r w:rsidRPr="00C0186C">
              <w:rPr>
                <w:rFonts w:ascii="Times New Roman" w:hAnsi="Times New Roman" w:cs="Times New Roman"/>
                <w:b/>
                <w:sz w:val="24"/>
                <w:szCs w:val="24"/>
              </w:rPr>
              <w:t xml:space="preserve"> pravnih osoba koje ostvaruju program predškolskog odgoja i njihovi smještajni kapaciteti; broj upisane djece u programe predškolskog odgoja</w:t>
            </w:r>
            <w:r w:rsidRPr="00C0186C">
              <w:rPr>
                <w:rFonts w:ascii="Times New Roman" w:hAnsi="Times New Roman" w:cs="Times New Roman"/>
                <w:sz w:val="24"/>
                <w:szCs w:val="24"/>
              </w:rPr>
              <w:t xml:space="preserve"> (izvor: DZS, podaci </w:t>
            </w:r>
            <w:r w:rsidR="007038CF" w:rsidRPr="00C0186C">
              <w:rPr>
                <w:rFonts w:ascii="Times New Roman" w:hAnsi="Times New Roman" w:cs="Times New Roman"/>
                <w:sz w:val="24"/>
                <w:szCs w:val="24"/>
              </w:rPr>
              <w:t>JLS</w:t>
            </w:r>
            <w:r w:rsidR="00811660">
              <w:rPr>
                <w:rFonts w:ascii="Times New Roman" w:hAnsi="Times New Roman" w:cs="Times New Roman"/>
                <w:sz w:val="24"/>
                <w:szCs w:val="24"/>
              </w:rPr>
              <w:t>-ovi</w:t>
            </w:r>
            <w:r w:rsidRPr="00C0186C">
              <w:rPr>
                <w:rFonts w:ascii="Times New Roman" w:hAnsi="Times New Roman" w:cs="Times New Roman"/>
                <w:sz w:val="24"/>
                <w:szCs w:val="24"/>
              </w:rPr>
              <w:t>)</w:t>
            </w:r>
          </w:p>
          <w:p w14:paraId="7E11BB00" w14:textId="6321211C" w:rsidR="009F63EA" w:rsidRPr="006C4249" w:rsidRDefault="00E12E00" w:rsidP="00B70EE8">
            <w:pPr>
              <w:spacing w:before="0" w:after="120"/>
              <w:jc w:val="both"/>
              <w:rPr>
                <w:rFonts w:ascii="Times New Roman" w:hAnsi="Times New Roman" w:cs="Times New Roman"/>
                <w:b/>
                <w:sz w:val="24"/>
                <w:szCs w:val="24"/>
              </w:rPr>
            </w:pPr>
            <w:r w:rsidRPr="006C4249">
              <w:rPr>
                <w:rFonts w:ascii="Times New Roman" w:hAnsi="Times New Roman" w:cs="Times New Roman"/>
                <w:b/>
                <w:sz w:val="24"/>
                <w:szCs w:val="24"/>
              </w:rPr>
              <w:t>Mjera 2.3. Ekonomska i socijalna integracija ranjivih društvenih skupina u lokalnu zajednicu:</w:t>
            </w:r>
          </w:p>
          <w:p w14:paraId="0F2B16CD" w14:textId="0ED4CE8C" w:rsidR="00E12E00" w:rsidRPr="006C4249" w:rsidRDefault="00E12E00" w:rsidP="00CA63B9">
            <w:pPr>
              <w:pStyle w:val="ListParagraph"/>
              <w:numPr>
                <w:ilvl w:val="0"/>
                <w:numId w:val="41"/>
              </w:numPr>
              <w:spacing w:before="0"/>
              <w:jc w:val="both"/>
              <w:rPr>
                <w:rFonts w:ascii="Times New Roman" w:eastAsia="Times New Roman" w:hAnsi="Times New Roman" w:cs="Times New Roman"/>
                <w:sz w:val="24"/>
                <w:szCs w:val="24"/>
                <w:lang w:eastAsia="hr-HR"/>
              </w:rPr>
            </w:pPr>
            <w:r w:rsidRPr="006C4249">
              <w:rPr>
                <w:rFonts w:ascii="Times New Roman" w:eastAsia="Times New Roman" w:hAnsi="Times New Roman" w:cs="Times New Roman"/>
                <w:sz w:val="24"/>
                <w:szCs w:val="24"/>
                <w:lang w:eastAsia="hr-HR"/>
              </w:rPr>
              <w:t xml:space="preserve">Povećanje broja dostupnih socijalnih usluga za ranjive društvene skupine </w:t>
            </w:r>
          </w:p>
          <w:p w14:paraId="2AFCD56E" w14:textId="315210B7" w:rsidR="00E12E00" w:rsidRPr="006C4249" w:rsidRDefault="00E12E00" w:rsidP="00CA63B9">
            <w:pPr>
              <w:pStyle w:val="ListParagraph"/>
              <w:numPr>
                <w:ilvl w:val="0"/>
                <w:numId w:val="41"/>
              </w:numPr>
              <w:spacing w:before="0"/>
              <w:jc w:val="both"/>
              <w:rPr>
                <w:rFonts w:ascii="Times New Roman" w:eastAsia="Times New Roman" w:hAnsi="Times New Roman" w:cs="Times New Roman"/>
                <w:sz w:val="24"/>
                <w:szCs w:val="24"/>
                <w:lang w:eastAsia="hr-HR"/>
              </w:rPr>
            </w:pPr>
            <w:r w:rsidRPr="006C4249">
              <w:rPr>
                <w:rFonts w:ascii="Times New Roman" w:eastAsia="Times New Roman" w:hAnsi="Times New Roman" w:cs="Times New Roman"/>
                <w:sz w:val="24"/>
                <w:szCs w:val="24"/>
                <w:lang w:eastAsia="hr-HR"/>
              </w:rPr>
              <w:t xml:space="preserve">Veća participacija ranjivih društvenih skupina u aktivnostima lokalne zajednice </w:t>
            </w:r>
          </w:p>
          <w:p w14:paraId="7BF698EB" w14:textId="29CA1ACE" w:rsidR="00CF59E3" w:rsidRPr="00C0186C" w:rsidRDefault="00E12E00" w:rsidP="00B70EE8">
            <w:pPr>
              <w:spacing w:before="0"/>
              <w:ind w:left="748"/>
              <w:jc w:val="both"/>
              <w:rPr>
                <w:rFonts w:ascii="Times New Roman" w:eastAsia="Calibri" w:hAnsi="Times New Roman" w:cs="Times New Roman"/>
                <w:bCs/>
                <w:sz w:val="24"/>
                <w:szCs w:val="24"/>
              </w:rPr>
            </w:pPr>
            <w:r w:rsidRPr="006C4249">
              <w:rPr>
                <w:rFonts w:ascii="Times New Roman" w:eastAsia="Arial" w:hAnsi="Times New Roman" w:cs="Times New Roman"/>
                <w:color w:val="000000"/>
                <w:sz w:val="24"/>
                <w:szCs w:val="24"/>
              </w:rPr>
              <w:t xml:space="preserve">Povećanje broja ugovorenih socijalnih usluga pratiti će se na temelju podataka Ministarstva nadležnog za poslove socijalne skrbi koji vodi evidenciju o pružateljima socijalnih usluga u Mreži pružatelja te na temelju godišnjih izvješća o ostvarenim pravima u socijalnoj skrbi koja uključuju korištenje socijalnih usluga te baze na temelju ESSPROS metodologije. </w:t>
            </w:r>
            <w:r w:rsidRPr="006C4249">
              <w:rPr>
                <w:rFonts w:ascii="Times New Roman" w:eastAsia="Arial" w:hAnsi="Times New Roman" w:cs="Times New Roman"/>
                <w:color w:val="000000"/>
                <w:sz w:val="24"/>
                <w:szCs w:val="24"/>
              </w:rPr>
              <w:br/>
              <w:t>S obzirom da dio socijalnih usluga i programa aktivacije stanovništva nisu obuhvaćeni mrežom pružatelja usluga koju vodi resorno Ministarstvo, predlaže se priprema posebnog statističkog obrasca prema izvještajnoj metodi u kojemu će se pratiti razvoj novih socijalnih usluga i programa aktivacije ranjivih društvenih skupina u zajednici.</w:t>
            </w:r>
          </w:p>
        </w:tc>
      </w:tr>
    </w:tbl>
    <w:p w14:paraId="00685A7C" w14:textId="4519BBCB" w:rsidR="00717FC6" w:rsidRDefault="00717FC6" w:rsidP="00B70EE8">
      <w:pPr>
        <w:spacing w:before="0"/>
        <w:jc w:val="both"/>
        <w:rPr>
          <w:rFonts w:ascii="Times New Roman" w:hAnsi="Times New Roman" w:cs="Times New Roman"/>
          <w:b/>
          <w:sz w:val="24"/>
          <w:szCs w:val="24"/>
        </w:rPr>
      </w:pPr>
    </w:p>
    <w:p w14:paraId="07462FCB" w14:textId="2AA43871" w:rsidR="008B37EE" w:rsidRDefault="008B37EE" w:rsidP="00B70EE8">
      <w:pPr>
        <w:spacing w:before="0"/>
        <w:jc w:val="both"/>
        <w:rPr>
          <w:rFonts w:ascii="Times New Roman" w:hAnsi="Times New Roman" w:cs="Times New Roman"/>
          <w:b/>
          <w:sz w:val="24"/>
          <w:szCs w:val="24"/>
        </w:rPr>
      </w:pPr>
    </w:p>
    <w:p w14:paraId="79161BA4" w14:textId="627E76B8" w:rsidR="008B37EE" w:rsidRDefault="008B37EE" w:rsidP="00B70EE8">
      <w:pPr>
        <w:spacing w:before="0"/>
        <w:jc w:val="both"/>
        <w:rPr>
          <w:rFonts w:ascii="Times New Roman" w:hAnsi="Times New Roman" w:cs="Times New Roman"/>
          <w:b/>
          <w:sz w:val="24"/>
          <w:szCs w:val="24"/>
        </w:rPr>
      </w:pPr>
    </w:p>
    <w:p w14:paraId="289D50AE" w14:textId="362CE2E7" w:rsidR="001424DD" w:rsidRDefault="001424DD" w:rsidP="00B70EE8">
      <w:pPr>
        <w:spacing w:before="0"/>
        <w:jc w:val="both"/>
        <w:rPr>
          <w:rFonts w:ascii="Times New Roman" w:hAnsi="Times New Roman" w:cs="Times New Roman"/>
          <w:b/>
          <w:sz w:val="24"/>
          <w:szCs w:val="24"/>
        </w:rPr>
      </w:pPr>
    </w:p>
    <w:p w14:paraId="73097A87" w14:textId="4BB98588" w:rsidR="001424DD" w:rsidRDefault="001424DD" w:rsidP="00B70EE8">
      <w:pPr>
        <w:spacing w:before="0"/>
        <w:jc w:val="both"/>
        <w:rPr>
          <w:rFonts w:ascii="Times New Roman" w:hAnsi="Times New Roman" w:cs="Times New Roman"/>
          <w:b/>
          <w:sz w:val="24"/>
          <w:szCs w:val="24"/>
        </w:rPr>
      </w:pPr>
    </w:p>
    <w:p w14:paraId="27448FB2" w14:textId="77777777" w:rsidR="001424DD" w:rsidRPr="00C0186C" w:rsidRDefault="001424DD" w:rsidP="00B70EE8">
      <w:pPr>
        <w:spacing w:before="0"/>
        <w:jc w:val="both"/>
        <w:rPr>
          <w:rFonts w:ascii="Times New Roman" w:hAnsi="Times New Roman" w:cs="Times New Roman"/>
          <w:b/>
          <w:sz w:val="24"/>
          <w:szCs w:val="24"/>
        </w:rPr>
      </w:pPr>
    </w:p>
    <w:p w14:paraId="3E63EFA9" w14:textId="14E7AFC5" w:rsidR="00717FC6" w:rsidRPr="008E3233" w:rsidRDefault="008E3233" w:rsidP="00FC19F9">
      <w:pPr>
        <w:pStyle w:val="Heading1"/>
        <w:numPr>
          <w:ilvl w:val="0"/>
          <w:numId w:val="43"/>
        </w:numPr>
        <w:shd w:val="clear" w:color="auto" w:fill="DEEAF6" w:themeFill="accent1" w:themeFillTint="33"/>
        <w:spacing w:before="0"/>
        <w:rPr>
          <w:rFonts w:ascii="Times New Roman" w:hAnsi="Times New Roman" w:cs="Times New Roman"/>
          <w:b/>
          <w:bCs/>
          <w:color w:val="auto"/>
          <w:sz w:val="28"/>
          <w:szCs w:val="28"/>
        </w:rPr>
      </w:pPr>
      <w:bookmarkStart w:id="40" w:name="_Toc95891871"/>
      <w:r w:rsidRPr="008E3233">
        <w:rPr>
          <w:rFonts w:ascii="Times New Roman" w:hAnsi="Times New Roman" w:cs="Times New Roman"/>
          <w:b/>
          <w:bCs/>
          <w:color w:val="auto"/>
          <w:sz w:val="28"/>
          <w:szCs w:val="28"/>
        </w:rPr>
        <w:t>INDIKATIVNI FINANCIJSKI PLAN</w:t>
      </w:r>
      <w:bookmarkEnd w:id="40"/>
    </w:p>
    <w:p w14:paraId="2C1A48FB" w14:textId="28FEC543" w:rsidR="0027017B" w:rsidRDefault="0027017B" w:rsidP="00B71103">
      <w:pPr>
        <w:spacing w:before="0" w:after="0"/>
        <w:jc w:val="both"/>
        <w:rPr>
          <w:rFonts w:ascii="Times New Roman" w:hAnsi="Times New Roman" w:cs="Times New Roman"/>
          <w:b/>
          <w:sz w:val="24"/>
          <w:szCs w:val="24"/>
        </w:rPr>
      </w:pPr>
    </w:p>
    <w:p w14:paraId="50E255A2" w14:textId="288B1576" w:rsidR="0027017B" w:rsidRPr="0027017B" w:rsidRDefault="0027017B" w:rsidP="00FC19F9">
      <w:pPr>
        <w:spacing w:before="0"/>
        <w:jc w:val="both"/>
        <w:rPr>
          <w:rFonts w:ascii="Times New Roman" w:hAnsi="Times New Roman" w:cs="Times New Roman"/>
          <w:bCs/>
          <w:sz w:val="24"/>
          <w:szCs w:val="24"/>
        </w:rPr>
      </w:pPr>
      <w:r>
        <w:rPr>
          <w:rFonts w:ascii="Times New Roman" w:hAnsi="Times New Roman" w:cs="Times New Roman"/>
          <w:bCs/>
          <w:sz w:val="24"/>
          <w:szCs w:val="24"/>
        </w:rPr>
        <w:t xml:space="preserve">U ovom djelu prikazan je indikativni financijski plan za razdoblje od 2022. do 2024. Indikativni financijski plan prikazan je u skladu s osiguranim sredstvima u državnom proračunu za 2022. i projekcijama za 2023. i 2024. godinu. </w:t>
      </w:r>
      <w:r w:rsidR="00B4048D">
        <w:rPr>
          <w:rFonts w:ascii="Times New Roman" w:hAnsi="Times New Roman" w:cs="Times New Roman"/>
          <w:bCs/>
          <w:sz w:val="24"/>
          <w:szCs w:val="24"/>
        </w:rPr>
        <w:t xml:space="preserve">Sredstva za provedbu mjera i aktivnosti u 2025. godini biti će osigurana u skladu s prijedlogom Državnog proračuna za 2025. godinu. </w:t>
      </w:r>
      <w:r w:rsidR="00444812">
        <w:rPr>
          <w:rFonts w:ascii="Times New Roman" w:hAnsi="Times New Roman" w:cs="Times New Roman"/>
          <w:bCs/>
          <w:sz w:val="24"/>
          <w:szCs w:val="24"/>
        </w:rPr>
        <w:t xml:space="preserve">U tablici. 9 Indikativni financijski plan 2022.-2024. prikazana su sredstva osigurana na aktivnostima državnog proračuna Ministarstva regionalnoga razvoja i fondova Europske unije i Središnjeg državnog ureda za obnovu i stambeno zbrinjavanje. </w:t>
      </w:r>
    </w:p>
    <w:p w14:paraId="34614253" w14:textId="7347F5DA" w:rsidR="00717FC6" w:rsidRPr="0027017B" w:rsidRDefault="0027017B" w:rsidP="00B70EE8">
      <w:pPr>
        <w:spacing w:before="0"/>
        <w:jc w:val="both"/>
        <w:rPr>
          <w:rFonts w:ascii="Times New Roman" w:hAnsi="Times New Roman" w:cs="Times New Roman"/>
          <w:bCs/>
          <w:sz w:val="24"/>
          <w:szCs w:val="24"/>
        </w:rPr>
      </w:pPr>
      <w:r w:rsidRPr="0027017B">
        <w:rPr>
          <w:rFonts w:ascii="Times New Roman" w:hAnsi="Times New Roman" w:cs="Times New Roman"/>
          <w:b/>
          <w:sz w:val="24"/>
          <w:szCs w:val="24"/>
        </w:rPr>
        <w:t>Tablica 9.</w:t>
      </w:r>
      <w:r>
        <w:rPr>
          <w:rFonts w:ascii="Times New Roman" w:hAnsi="Times New Roman" w:cs="Times New Roman"/>
          <w:b/>
          <w:sz w:val="24"/>
          <w:szCs w:val="24"/>
        </w:rPr>
        <w:t xml:space="preserve"> </w:t>
      </w:r>
      <w:r>
        <w:rPr>
          <w:rFonts w:ascii="Times New Roman" w:hAnsi="Times New Roman" w:cs="Times New Roman"/>
          <w:bCs/>
          <w:sz w:val="24"/>
          <w:szCs w:val="24"/>
        </w:rPr>
        <w:t>Indikativni financijski plan 2022.-2024.</w:t>
      </w:r>
    </w:p>
    <w:tbl>
      <w:tblPr>
        <w:tblStyle w:val="GridTable5Dark-Accent1"/>
        <w:tblW w:w="9209" w:type="dxa"/>
        <w:tblLayout w:type="fixed"/>
        <w:tblLook w:val="0600" w:firstRow="0" w:lastRow="0" w:firstColumn="0" w:lastColumn="0" w:noHBand="1" w:noVBand="1"/>
      </w:tblPr>
      <w:tblGrid>
        <w:gridCol w:w="6658"/>
        <w:gridCol w:w="2551"/>
      </w:tblGrid>
      <w:tr w:rsidR="008E3233" w:rsidRPr="00AD7487" w14:paraId="4CA02755" w14:textId="77777777" w:rsidTr="00B71103">
        <w:trPr>
          <w:trHeight w:val="567"/>
        </w:trPr>
        <w:tc>
          <w:tcPr>
            <w:tcW w:w="9209" w:type="dxa"/>
            <w:gridSpan w:val="2"/>
            <w:vAlign w:val="center"/>
            <w:hideMark/>
          </w:tcPr>
          <w:p w14:paraId="281F1CCA" w14:textId="2E49478F" w:rsidR="008E3233" w:rsidRPr="00AD7487" w:rsidRDefault="008E3233" w:rsidP="00321B6B">
            <w:pPr>
              <w:spacing w:before="0"/>
              <w:jc w:val="center"/>
              <w:textAlignment w:val="bottom"/>
              <w:rPr>
                <w:rFonts w:eastAsia="Times New Roman" w:cstheme="minorHAnsi"/>
                <w:b/>
                <w:bCs/>
                <w:color w:val="0070C0"/>
                <w:sz w:val="28"/>
                <w:szCs w:val="28"/>
                <w:lang w:eastAsia="hr-HR"/>
              </w:rPr>
            </w:pPr>
            <w:r>
              <w:rPr>
                <w:rFonts w:eastAsia="Times New Roman" w:cstheme="minorHAnsi"/>
                <w:b/>
                <w:bCs/>
                <w:color w:val="002060"/>
                <w:kern w:val="24"/>
                <w:sz w:val="28"/>
                <w:szCs w:val="28"/>
                <w:lang w:val="pl-PL" w:eastAsia="hr-HR"/>
              </w:rPr>
              <w:t xml:space="preserve">INDIKATIVNI FINANCIJSKI PLAN </w:t>
            </w:r>
          </w:p>
        </w:tc>
      </w:tr>
      <w:tr w:rsidR="008E3233" w:rsidRPr="006B0EE1" w14:paraId="10442A97" w14:textId="77777777" w:rsidTr="00B71103">
        <w:trPr>
          <w:trHeight w:val="567"/>
        </w:trPr>
        <w:tc>
          <w:tcPr>
            <w:tcW w:w="6658" w:type="dxa"/>
            <w:shd w:val="clear" w:color="auto" w:fill="F2F2F2" w:themeFill="background1" w:themeFillShade="F2"/>
            <w:vAlign w:val="center"/>
            <w:hideMark/>
          </w:tcPr>
          <w:p w14:paraId="3711B954" w14:textId="0E859032" w:rsidR="008E3233" w:rsidRPr="00D200B3" w:rsidRDefault="00C56AFA" w:rsidP="00321B6B">
            <w:pPr>
              <w:spacing w:before="0"/>
              <w:jc w:val="right"/>
              <w:textAlignment w:val="bottom"/>
              <w:rPr>
                <w:rFonts w:asciiTheme="majorBidi" w:eastAsia="Times New Roman" w:hAnsiTheme="majorBidi" w:cstheme="majorBidi"/>
                <w:sz w:val="24"/>
                <w:szCs w:val="24"/>
                <w:lang w:eastAsia="hr-HR"/>
              </w:rPr>
            </w:pPr>
            <w:r w:rsidRPr="00D200B3">
              <w:rPr>
                <w:rFonts w:asciiTheme="majorBidi" w:eastAsia="Times New Roman" w:hAnsiTheme="majorBidi" w:cstheme="majorBidi"/>
                <w:color w:val="000000"/>
                <w:kern w:val="24"/>
                <w:sz w:val="24"/>
                <w:szCs w:val="24"/>
                <w:lang w:val="pl-PL" w:eastAsia="hr-HR"/>
              </w:rPr>
              <w:t>Razvoj potpomognutih područja</w:t>
            </w:r>
          </w:p>
        </w:tc>
        <w:tc>
          <w:tcPr>
            <w:tcW w:w="2551" w:type="dxa"/>
            <w:vAlign w:val="center"/>
            <w:hideMark/>
          </w:tcPr>
          <w:p w14:paraId="3DFF9000" w14:textId="386D4661" w:rsidR="008E3233" w:rsidRPr="00D200B3" w:rsidRDefault="00C56AFA" w:rsidP="002A2AD1">
            <w:pPr>
              <w:spacing w:before="0"/>
              <w:jc w:val="center"/>
              <w:textAlignment w:val="bottom"/>
              <w:rPr>
                <w:rFonts w:asciiTheme="majorBidi" w:eastAsia="Times New Roman" w:hAnsiTheme="majorBidi" w:cstheme="majorBidi"/>
                <w:b/>
                <w:bCs/>
                <w:color w:val="002060"/>
                <w:sz w:val="24"/>
                <w:szCs w:val="24"/>
                <w:lang w:eastAsia="hr-HR"/>
              </w:rPr>
            </w:pPr>
            <w:r w:rsidRPr="00D200B3">
              <w:rPr>
                <w:rFonts w:asciiTheme="majorBidi" w:eastAsia="Times New Roman" w:hAnsiTheme="majorBidi" w:cstheme="majorBidi"/>
                <w:b/>
                <w:bCs/>
                <w:color w:val="002060"/>
                <w:kern w:val="24"/>
                <w:sz w:val="24"/>
                <w:szCs w:val="24"/>
                <w:lang w:eastAsia="hr-HR"/>
              </w:rPr>
              <w:t>210</w:t>
            </w:r>
            <w:r w:rsidR="008E3233" w:rsidRPr="00D200B3">
              <w:rPr>
                <w:rFonts w:asciiTheme="majorBidi" w:eastAsia="Times New Roman" w:hAnsiTheme="majorBidi" w:cstheme="majorBidi"/>
                <w:b/>
                <w:bCs/>
                <w:color w:val="002060"/>
                <w:kern w:val="24"/>
                <w:sz w:val="24"/>
                <w:szCs w:val="24"/>
                <w:lang w:eastAsia="hr-HR"/>
              </w:rPr>
              <w:t xml:space="preserve"> </w:t>
            </w:r>
            <w:proofErr w:type="spellStart"/>
            <w:r w:rsidR="008E3233" w:rsidRPr="00D200B3">
              <w:rPr>
                <w:rFonts w:asciiTheme="majorBidi" w:eastAsia="Times New Roman" w:hAnsiTheme="majorBidi" w:cstheme="majorBidi"/>
                <w:b/>
                <w:bCs/>
                <w:color w:val="002060"/>
                <w:kern w:val="24"/>
                <w:sz w:val="24"/>
                <w:szCs w:val="24"/>
                <w:lang w:eastAsia="hr-HR"/>
              </w:rPr>
              <w:t>mln</w:t>
            </w:r>
            <w:proofErr w:type="spellEnd"/>
            <w:r w:rsidR="008E3233" w:rsidRPr="00D200B3">
              <w:rPr>
                <w:rFonts w:asciiTheme="majorBidi" w:eastAsia="Times New Roman" w:hAnsiTheme="majorBidi" w:cstheme="majorBidi"/>
                <w:b/>
                <w:bCs/>
                <w:color w:val="002060"/>
                <w:kern w:val="24"/>
                <w:sz w:val="24"/>
                <w:szCs w:val="24"/>
                <w:lang w:eastAsia="hr-HR"/>
              </w:rPr>
              <w:t>. kuna</w:t>
            </w:r>
          </w:p>
        </w:tc>
      </w:tr>
      <w:tr w:rsidR="008E3233" w:rsidRPr="006B0EE1" w14:paraId="196226D4" w14:textId="77777777" w:rsidTr="00B71103">
        <w:trPr>
          <w:trHeight w:val="567"/>
        </w:trPr>
        <w:tc>
          <w:tcPr>
            <w:tcW w:w="6658" w:type="dxa"/>
            <w:shd w:val="clear" w:color="auto" w:fill="F2F2F2" w:themeFill="background1" w:themeFillShade="F2"/>
            <w:vAlign w:val="center"/>
            <w:hideMark/>
          </w:tcPr>
          <w:p w14:paraId="2222AD7C" w14:textId="3C006F2F" w:rsidR="008E3233" w:rsidRPr="00D200B3" w:rsidRDefault="00C56AFA" w:rsidP="00321B6B">
            <w:pPr>
              <w:spacing w:before="0"/>
              <w:jc w:val="right"/>
              <w:textAlignment w:val="bottom"/>
              <w:rPr>
                <w:rFonts w:asciiTheme="majorBidi" w:eastAsia="Times New Roman" w:hAnsiTheme="majorBidi" w:cstheme="majorBidi"/>
                <w:sz w:val="24"/>
                <w:szCs w:val="24"/>
                <w:lang w:eastAsia="hr-HR"/>
              </w:rPr>
            </w:pPr>
            <w:r w:rsidRPr="00D200B3">
              <w:rPr>
                <w:rFonts w:asciiTheme="majorBidi" w:eastAsia="Times New Roman" w:hAnsiTheme="majorBidi" w:cstheme="majorBidi"/>
                <w:color w:val="000000"/>
                <w:kern w:val="24"/>
                <w:sz w:val="24"/>
                <w:szCs w:val="24"/>
                <w:lang w:val="pl-PL" w:eastAsia="hr-HR"/>
              </w:rPr>
              <w:t>Poboljšanje infrastrukture na područjima naseljenima pripadnicima nacionalnih manjina</w:t>
            </w:r>
          </w:p>
        </w:tc>
        <w:tc>
          <w:tcPr>
            <w:tcW w:w="2551" w:type="dxa"/>
            <w:vAlign w:val="center"/>
            <w:hideMark/>
          </w:tcPr>
          <w:p w14:paraId="27664497" w14:textId="246AA1ED" w:rsidR="008E3233" w:rsidRPr="00D200B3" w:rsidRDefault="00C56AFA" w:rsidP="002A2AD1">
            <w:pPr>
              <w:spacing w:before="0"/>
              <w:jc w:val="center"/>
              <w:textAlignment w:val="bottom"/>
              <w:rPr>
                <w:rFonts w:asciiTheme="majorBidi" w:eastAsia="Times New Roman" w:hAnsiTheme="majorBidi" w:cstheme="majorBidi"/>
                <w:b/>
                <w:bCs/>
                <w:color w:val="002060"/>
                <w:sz w:val="24"/>
                <w:szCs w:val="24"/>
                <w:lang w:eastAsia="hr-HR"/>
              </w:rPr>
            </w:pPr>
            <w:r w:rsidRPr="00D200B3">
              <w:rPr>
                <w:rFonts w:asciiTheme="majorBidi" w:eastAsia="Times New Roman" w:hAnsiTheme="majorBidi" w:cstheme="majorBidi"/>
                <w:b/>
                <w:bCs/>
                <w:color w:val="002060"/>
                <w:kern w:val="24"/>
                <w:sz w:val="24"/>
                <w:szCs w:val="24"/>
                <w:lang w:eastAsia="hr-HR"/>
              </w:rPr>
              <w:t>90</w:t>
            </w:r>
            <w:r w:rsidR="008E3233" w:rsidRPr="00D200B3">
              <w:rPr>
                <w:rFonts w:asciiTheme="majorBidi" w:eastAsia="Times New Roman" w:hAnsiTheme="majorBidi" w:cstheme="majorBidi"/>
                <w:b/>
                <w:bCs/>
                <w:color w:val="002060"/>
                <w:kern w:val="24"/>
                <w:sz w:val="24"/>
                <w:szCs w:val="24"/>
                <w:lang w:eastAsia="hr-HR"/>
              </w:rPr>
              <w:t xml:space="preserve"> </w:t>
            </w:r>
            <w:proofErr w:type="spellStart"/>
            <w:r w:rsidR="008E3233" w:rsidRPr="00D200B3">
              <w:rPr>
                <w:rFonts w:asciiTheme="majorBidi" w:eastAsia="Times New Roman" w:hAnsiTheme="majorBidi" w:cstheme="majorBidi"/>
                <w:b/>
                <w:bCs/>
                <w:color w:val="002060"/>
                <w:kern w:val="24"/>
                <w:sz w:val="24"/>
                <w:szCs w:val="24"/>
                <w:lang w:eastAsia="hr-HR"/>
              </w:rPr>
              <w:t>mln</w:t>
            </w:r>
            <w:proofErr w:type="spellEnd"/>
            <w:r w:rsidR="008E3233" w:rsidRPr="00D200B3">
              <w:rPr>
                <w:rFonts w:asciiTheme="majorBidi" w:eastAsia="Times New Roman" w:hAnsiTheme="majorBidi" w:cstheme="majorBidi"/>
                <w:b/>
                <w:bCs/>
                <w:color w:val="002060"/>
                <w:kern w:val="24"/>
                <w:sz w:val="24"/>
                <w:szCs w:val="24"/>
                <w:lang w:eastAsia="hr-HR"/>
              </w:rPr>
              <w:t>. kuna</w:t>
            </w:r>
          </w:p>
        </w:tc>
      </w:tr>
      <w:tr w:rsidR="008E3233" w:rsidRPr="006B0EE1" w14:paraId="03FC4FCA" w14:textId="77777777" w:rsidTr="00B71103">
        <w:trPr>
          <w:trHeight w:val="567"/>
        </w:trPr>
        <w:tc>
          <w:tcPr>
            <w:tcW w:w="6658" w:type="dxa"/>
            <w:shd w:val="clear" w:color="auto" w:fill="F2F2F2" w:themeFill="background1" w:themeFillShade="F2"/>
            <w:vAlign w:val="center"/>
            <w:hideMark/>
          </w:tcPr>
          <w:p w14:paraId="657861EA" w14:textId="137831CE" w:rsidR="008E3233" w:rsidRPr="00D200B3" w:rsidRDefault="00C56AFA" w:rsidP="00321B6B">
            <w:pPr>
              <w:spacing w:before="0"/>
              <w:jc w:val="right"/>
              <w:textAlignment w:val="bottom"/>
              <w:rPr>
                <w:rFonts w:asciiTheme="majorBidi" w:eastAsia="Times New Roman" w:hAnsiTheme="majorBidi" w:cstheme="majorBidi"/>
                <w:sz w:val="24"/>
                <w:szCs w:val="24"/>
                <w:lang w:eastAsia="hr-HR"/>
              </w:rPr>
            </w:pPr>
            <w:r w:rsidRPr="00D200B3">
              <w:rPr>
                <w:rFonts w:asciiTheme="majorBidi" w:eastAsia="Times New Roman" w:hAnsiTheme="majorBidi" w:cstheme="majorBidi"/>
                <w:color w:val="000000"/>
                <w:kern w:val="24"/>
                <w:sz w:val="24"/>
                <w:szCs w:val="24"/>
                <w:lang w:eastAsia="hr-HR"/>
              </w:rPr>
              <w:t>Program za Slavoniju, Baranju i Srijem</w:t>
            </w:r>
          </w:p>
        </w:tc>
        <w:tc>
          <w:tcPr>
            <w:tcW w:w="2551" w:type="dxa"/>
            <w:vAlign w:val="center"/>
            <w:hideMark/>
          </w:tcPr>
          <w:p w14:paraId="5651321C" w14:textId="74B716D9" w:rsidR="008E3233" w:rsidRPr="00D200B3" w:rsidRDefault="00C56AFA" w:rsidP="002A2AD1">
            <w:pPr>
              <w:spacing w:before="0"/>
              <w:jc w:val="center"/>
              <w:textAlignment w:val="bottom"/>
              <w:rPr>
                <w:rFonts w:asciiTheme="majorBidi" w:eastAsia="Times New Roman" w:hAnsiTheme="majorBidi" w:cstheme="majorBidi"/>
                <w:b/>
                <w:bCs/>
                <w:color w:val="002060"/>
                <w:sz w:val="24"/>
                <w:szCs w:val="24"/>
                <w:lang w:eastAsia="hr-HR"/>
              </w:rPr>
            </w:pPr>
            <w:r w:rsidRPr="00D200B3">
              <w:rPr>
                <w:rFonts w:asciiTheme="majorBidi" w:eastAsia="Times New Roman" w:hAnsiTheme="majorBidi" w:cstheme="majorBidi"/>
                <w:b/>
                <w:bCs/>
                <w:color w:val="002060"/>
                <w:kern w:val="24"/>
                <w:sz w:val="24"/>
                <w:szCs w:val="24"/>
                <w:lang w:eastAsia="hr-HR"/>
              </w:rPr>
              <w:t>150</w:t>
            </w:r>
            <w:r w:rsidR="008E3233" w:rsidRPr="00D200B3">
              <w:rPr>
                <w:rFonts w:asciiTheme="majorBidi" w:eastAsia="Times New Roman" w:hAnsiTheme="majorBidi" w:cstheme="majorBidi"/>
                <w:b/>
                <w:bCs/>
                <w:color w:val="002060"/>
                <w:kern w:val="24"/>
                <w:sz w:val="24"/>
                <w:szCs w:val="24"/>
                <w:lang w:eastAsia="hr-HR"/>
              </w:rPr>
              <w:t xml:space="preserve"> </w:t>
            </w:r>
            <w:proofErr w:type="spellStart"/>
            <w:r w:rsidR="008E3233" w:rsidRPr="00D200B3">
              <w:rPr>
                <w:rFonts w:asciiTheme="majorBidi" w:eastAsia="Times New Roman" w:hAnsiTheme="majorBidi" w:cstheme="majorBidi"/>
                <w:b/>
                <w:bCs/>
                <w:color w:val="002060"/>
                <w:kern w:val="24"/>
                <w:sz w:val="24"/>
                <w:szCs w:val="24"/>
                <w:lang w:eastAsia="hr-HR"/>
              </w:rPr>
              <w:t>mln</w:t>
            </w:r>
            <w:proofErr w:type="spellEnd"/>
            <w:r w:rsidR="008E3233" w:rsidRPr="00D200B3">
              <w:rPr>
                <w:rFonts w:asciiTheme="majorBidi" w:eastAsia="Times New Roman" w:hAnsiTheme="majorBidi" w:cstheme="majorBidi"/>
                <w:b/>
                <w:bCs/>
                <w:color w:val="002060"/>
                <w:kern w:val="24"/>
                <w:sz w:val="24"/>
                <w:szCs w:val="24"/>
                <w:lang w:eastAsia="hr-HR"/>
              </w:rPr>
              <w:t>. kuna</w:t>
            </w:r>
          </w:p>
        </w:tc>
      </w:tr>
      <w:tr w:rsidR="008E3233" w:rsidRPr="006B0EE1" w14:paraId="0B51676A" w14:textId="77777777" w:rsidTr="00B71103">
        <w:trPr>
          <w:trHeight w:val="567"/>
        </w:trPr>
        <w:tc>
          <w:tcPr>
            <w:tcW w:w="6658" w:type="dxa"/>
            <w:shd w:val="clear" w:color="auto" w:fill="F2F2F2" w:themeFill="background1" w:themeFillShade="F2"/>
            <w:vAlign w:val="center"/>
            <w:hideMark/>
          </w:tcPr>
          <w:p w14:paraId="018DB647" w14:textId="395A3EA4" w:rsidR="008E3233" w:rsidRPr="00D200B3" w:rsidRDefault="00C56AFA" w:rsidP="00321B6B">
            <w:pPr>
              <w:spacing w:before="0"/>
              <w:jc w:val="right"/>
              <w:textAlignment w:val="bottom"/>
              <w:rPr>
                <w:rFonts w:asciiTheme="majorBidi" w:eastAsia="Times New Roman" w:hAnsiTheme="majorBidi" w:cstheme="majorBidi"/>
                <w:sz w:val="24"/>
                <w:szCs w:val="24"/>
                <w:lang w:eastAsia="hr-HR"/>
              </w:rPr>
            </w:pPr>
            <w:r w:rsidRPr="00D200B3">
              <w:rPr>
                <w:rFonts w:asciiTheme="majorBidi" w:eastAsia="Times New Roman" w:hAnsiTheme="majorBidi" w:cstheme="majorBidi"/>
                <w:color w:val="000000"/>
                <w:kern w:val="24"/>
                <w:sz w:val="24"/>
                <w:szCs w:val="24"/>
                <w:lang w:eastAsia="hr-HR"/>
              </w:rPr>
              <w:t>Podrška programima regionalne tranzicije gospodarstva</w:t>
            </w:r>
          </w:p>
        </w:tc>
        <w:tc>
          <w:tcPr>
            <w:tcW w:w="2551" w:type="dxa"/>
            <w:vAlign w:val="center"/>
            <w:hideMark/>
          </w:tcPr>
          <w:p w14:paraId="3496769E" w14:textId="41B956CB" w:rsidR="008E3233" w:rsidRPr="00D200B3" w:rsidRDefault="00C56AFA" w:rsidP="002A2AD1">
            <w:pPr>
              <w:spacing w:before="0"/>
              <w:jc w:val="center"/>
              <w:textAlignment w:val="bottom"/>
              <w:rPr>
                <w:rFonts w:asciiTheme="majorBidi" w:eastAsia="Times New Roman" w:hAnsiTheme="majorBidi" w:cstheme="majorBidi"/>
                <w:b/>
                <w:bCs/>
                <w:color w:val="002060"/>
                <w:sz w:val="24"/>
                <w:szCs w:val="24"/>
                <w:lang w:eastAsia="hr-HR"/>
              </w:rPr>
            </w:pPr>
            <w:r w:rsidRPr="00D200B3">
              <w:rPr>
                <w:rFonts w:asciiTheme="majorBidi" w:eastAsia="Times New Roman" w:hAnsiTheme="majorBidi" w:cstheme="majorBidi"/>
                <w:b/>
                <w:bCs/>
                <w:color w:val="002060"/>
                <w:kern w:val="24"/>
                <w:sz w:val="24"/>
                <w:szCs w:val="24"/>
                <w:lang w:eastAsia="hr-HR"/>
              </w:rPr>
              <w:t>15</w:t>
            </w:r>
            <w:r w:rsidR="008E3233" w:rsidRPr="00D200B3">
              <w:rPr>
                <w:rFonts w:asciiTheme="majorBidi" w:eastAsia="Times New Roman" w:hAnsiTheme="majorBidi" w:cstheme="majorBidi"/>
                <w:b/>
                <w:bCs/>
                <w:color w:val="002060"/>
                <w:kern w:val="24"/>
                <w:sz w:val="24"/>
                <w:szCs w:val="24"/>
                <w:lang w:eastAsia="hr-HR"/>
              </w:rPr>
              <w:t xml:space="preserve"> </w:t>
            </w:r>
            <w:proofErr w:type="spellStart"/>
            <w:r w:rsidR="008E3233" w:rsidRPr="00D200B3">
              <w:rPr>
                <w:rFonts w:asciiTheme="majorBidi" w:eastAsia="Times New Roman" w:hAnsiTheme="majorBidi" w:cstheme="majorBidi"/>
                <w:b/>
                <w:bCs/>
                <w:color w:val="002060"/>
                <w:kern w:val="24"/>
                <w:sz w:val="24"/>
                <w:szCs w:val="24"/>
                <w:lang w:eastAsia="hr-HR"/>
              </w:rPr>
              <w:t>mln</w:t>
            </w:r>
            <w:proofErr w:type="spellEnd"/>
            <w:r w:rsidR="008E3233" w:rsidRPr="00D200B3">
              <w:rPr>
                <w:rFonts w:asciiTheme="majorBidi" w:eastAsia="Times New Roman" w:hAnsiTheme="majorBidi" w:cstheme="majorBidi"/>
                <w:b/>
                <w:bCs/>
                <w:color w:val="002060"/>
                <w:kern w:val="24"/>
                <w:sz w:val="24"/>
                <w:szCs w:val="24"/>
                <w:lang w:eastAsia="hr-HR"/>
              </w:rPr>
              <w:t>. kuna</w:t>
            </w:r>
          </w:p>
        </w:tc>
      </w:tr>
      <w:tr w:rsidR="002A2AD1" w:rsidRPr="006B0EE1" w14:paraId="798EE39C" w14:textId="77777777" w:rsidTr="00B71103">
        <w:trPr>
          <w:trHeight w:val="567"/>
        </w:trPr>
        <w:tc>
          <w:tcPr>
            <w:tcW w:w="6658" w:type="dxa"/>
            <w:shd w:val="clear" w:color="auto" w:fill="F2F2F2" w:themeFill="background1" w:themeFillShade="F2"/>
            <w:vAlign w:val="center"/>
          </w:tcPr>
          <w:p w14:paraId="10F3B9C3" w14:textId="27C18AB3" w:rsidR="002A2AD1" w:rsidRPr="00D200B3" w:rsidRDefault="002A2AD1" w:rsidP="00321B6B">
            <w:pPr>
              <w:spacing w:before="0"/>
              <w:jc w:val="right"/>
              <w:textAlignment w:val="bottom"/>
              <w:rPr>
                <w:rFonts w:asciiTheme="majorBidi" w:eastAsia="Times New Roman" w:hAnsiTheme="majorBidi" w:cstheme="majorBidi"/>
                <w:color w:val="000000"/>
                <w:kern w:val="24"/>
                <w:sz w:val="24"/>
                <w:szCs w:val="24"/>
                <w:lang w:eastAsia="hr-HR"/>
              </w:rPr>
            </w:pPr>
            <w:r w:rsidRPr="00D200B3">
              <w:rPr>
                <w:rFonts w:asciiTheme="majorBidi" w:eastAsia="Times New Roman" w:hAnsiTheme="majorBidi" w:cstheme="majorBidi"/>
                <w:color w:val="000000"/>
                <w:kern w:val="24"/>
                <w:sz w:val="24"/>
                <w:szCs w:val="24"/>
                <w:lang w:eastAsia="hr-HR"/>
              </w:rPr>
              <w:t>Proizvodi Slavonije, Baranje i Srijema</w:t>
            </w:r>
          </w:p>
        </w:tc>
        <w:tc>
          <w:tcPr>
            <w:tcW w:w="2551" w:type="dxa"/>
            <w:vAlign w:val="center"/>
          </w:tcPr>
          <w:p w14:paraId="712A29B4" w14:textId="6B605E22" w:rsidR="002A2AD1" w:rsidRPr="00D200B3" w:rsidRDefault="002A2AD1" w:rsidP="002A2AD1">
            <w:pPr>
              <w:spacing w:before="0"/>
              <w:jc w:val="center"/>
              <w:textAlignment w:val="bottom"/>
              <w:rPr>
                <w:rFonts w:asciiTheme="majorBidi" w:eastAsia="Times New Roman" w:hAnsiTheme="majorBidi" w:cstheme="majorBidi"/>
                <w:b/>
                <w:bCs/>
                <w:color w:val="002060"/>
                <w:kern w:val="24"/>
                <w:sz w:val="24"/>
                <w:szCs w:val="24"/>
                <w:lang w:eastAsia="hr-HR"/>
              </w:rPr>
            </w:pPr>
            <w:r w:rsidRPr="00D200B3">
              <w:rPr>
                <w:rFonts w:asciiTheme="majorBidi" w:eastAsia="Times New Roman" w:hAnsiTheme="majorBidi" w:cstheme="majorBidi"/>
                <w:b/>
                <w:bCs/>
                <w:color w:val="002060"/>
                <w:kern w:val="24"/>
                <w:sz w:val="24"/>
                <w:szCs w:val="24"/>
                <w:lang w:eastAsia="hr-HR"/>
              </w:rPr>
              <w:t xml:space="preserve">6 </w:t>
            </w:r>
            <w:proofErr w:type="spellStart"/>
            <w:r w:rsidRPr="00D200B3">
              <w:rPr>
                <w:rFonts w:asciiTheme="majorBidi" w:eastAsia="Times New Roman" w:hAnsiTheme="majorBidi" w:cstheme="majorBidi"/>
                <w:b/>
                <w:bCs/>
                <w:color w:val="002060"/>
                <w:kern w:val="24"/>
                <w:sz w:val="24"/>
                <w:szCs w:val="24"/>
                <w:lang w:eastAsia="hr-HR"/>
              </w:rPr>
              <w:t>mln</w:t>
            </w:r>
            <w:proofErr w:type="spellEnd"/>
            <w:r w:rsidRPr="00D200B3">
              <w:rPr>
                <w:rFonts w:asciiTheme="majorBidi" w:eastAsia="Times New Roman" w:hAnsiTheme="majorBidi" w:cstheme="majorBidi"/>
                <w:b/>
                <w:bCs/>
                <w:color w:val="002060"/>
                <w:kern w:val="24"/>
                <w:sz w:val="24"/>
                <w:szCs w:val="24"/>
                <w:lang w:eastAsia="hr-HR"/>
              </w:rPr>
              <w:t>. kuna</w:t>
            </w:r>
          </w:p>
        </w:tc>
      </w:tr>
      <w:tr w:rsidR="00C36C5E" w:rsidRPr="006B0EE1" w14:paraId="1883028D" w14:textId="77777777" w:rsidTr="00B71103">
        <w:trPr>
          <w:trHeight w:val="567"/>
        </w:trPr>
        <w:tc>
          <w:tcPr>
            <w:tcW w:w="6658" w:type="dxa"/>
            <w:shd w:val="clear" w:color="auto" w:fill="F2F2F2" w:themeFill="background1" w:themeFillShade="F2"/>
            <w:vAlign w:val="center"/>
          </w:tcPr>
          <w:p w14:paraId="664A1A51" w14:textId="501C9D8E" w:rsidR="00C36C5E" w:rsidRPr="00D200B3" w:rsidRDefault="00C36C5E" w:rsidP="00321B6B">
            <w:pPr>
              <w:spacing w:before="0"/>
              <w:jc w:val="right"/>
              <w:textAlignment w:val="bottom"/>
              <w:rPr>
                <w:rFonts w:asciiTheme="majorBidi" w:eastAsia="Times New Roman" w:hAnsiTheme="majorBidi" w:cstheme="majorBidi"/>
                <w:color w:val="000000"/>
                <w:kern w:val="24"/>
                <w:sz w:val="24"/>
                <w:szCs w:val="24"/>
                <w:lang w:eastAsia="hr-HR"/>
              </w:rPr>
            </w:pPr>
            <w:r w:rsidRPr="00D200B3">
              <w:rPr>
                <w:rFonts w:asciiTheme="majorBidi" w:eastAsia="Times New Roman" w:hAnsiTheme="majorBidi" w:cstheme="majorBidi"/>
                <w:color w:val="000000"/>
                <w:kern w:val="24"/>
                <w:sz w:val="24"/>
                <w:szCs w:val="24"/>
                <w:lang w:eastAsia="hr-HR"/>
              </w:rPr>
              <w:t>Regionalni stambeni program</w:t>
            </w:r>
          </w:p>
        </w:tc>
        <w:tc>
          <w:tcPr>
            <w:tcW w:w="2551" w:type="dxa"/>
            <w:vAlign w:val="center"/>
          </w:tcPr>
          <w:p w14:paraId="43E08CB6" w14:textId="58A4C4D8" w:rsidR="00C36C5E" w:rsidRPr="00D200B3" w:rsidRDefault="00F423B2" w:rsidP="00C36C5E">
            <w:pPr>
              <w:spacing w:before="0"/>
              <w:jc w:val="center"/>
              <w:textAlignment w:val="bottom"/>
              <w:rPr>
                <w:rFonts w:asciiTheme="majorBidi" w:eastAsia="Times New Roman" w:hAnsiTheme="majorBidi" w:cstheme="majorBidi"/>
                <w:b/>
                <w:bCs/>
                <w:color w:val="002060"/>
                <w:kern w:val="24"/>
                <w:sz w:val="24"/>
                <w:szCs w:val="24"/>
                <w:lang w:eastAsia="hr-HR"/>
              </w:rPr>
            </w:pPr>
            <w:r w:rsidRPr="00D200B3">
              <w:rPr>
                <w:rFonts w:asciiTheme="majorBidi" w:eastAsia="Times New Roman" w:hAnsiTheme="majorBidi" w:cstheme="majorBidi"/>
                <w:b/>
                <w:bCs/>
                <w:color w:val="002060"/>
                <w:kern w:val="24"/>
                <w:sz w:val="24"/>
                <w:szCs w:val="24"/>
                <w:lang w:eastAsia="hr-HR"/>
              </w:rPr>
              <w:t xml:space="preserve">5,6 </w:t>
            </w:r>
            <w:proofErr w:type="spellStart"/>
            <w:r w:rsidRPr="00D200B3">
              <w:rPr>
                <w:rFonts w:asciiTheme="majorBidi" w:eastAsia="Times New Roman" w:hAnsiTheme="majorBidi" w:cstheme="majorBidi"/>
                <w:b/>
                <w:bCs/>
                <w:color w:val="002060"/>
                <w:kern w:val="24"/>
                <w:sz w:val="24"/>
                <w:szCs w:val="24"/>
                <w:lang w:eastAsia="hr-HR"/>
              </w:rPr>
              <w:t>mln</w:t>
            </w:r>
            <w:proofErr w:type="spellEnd"/>
            <w:r w:rsidRPr="00D200B3">
              <w:rPr>
                <w:rFonts w:asciiTheme="majorBidi" w:eastAsia="Times New Roman" w:hAnsiTheme="majorBidi" w:cstheme="majorBidi"/>
                <w:b/>
                <w:bCs/>
                <w:color w:val="002060"/>
                <w:kern w:val="24"/>
                <w:sz w:val="24"/>
                <w:szCs w:val="24"/>
                <w:lang w:eastAsia="hr-HR"/>
              </w:rPr>
              <w:t>. kuna</w:t>
            </w:r>
          </w:p>
        </w:tc>
      </w:tr>
      <w:tr w:rsidR="002A2AD1" w:rsidRPr="006B0EE1" w14:paraId="24874E3C" w14:textId="77777777" w:rsidTr="00B71103">
        <w:trPr>
          <w:trHeight w:val="567"/>
        </w:trPr>
        <w:tc>
          <w:tcPr>
            <w:tcW w:w="6658" w:type="dxa"/>
            <w:shd w:val="clear" w:color="auto" w:fill="F2F2F2" w:themeFill="background1" w:themeFillShade="F2"/>
            <w:vAlign w:val="center"/>
          </w:tcPr>
          <w:p w14:paraId="0C5D11D2" w14:textId="17253E54" w:rsidR="002A2AD1" w:rsidRPr="00D200B3" w:rsidRDefault="002A2AD1" w:rsidP="00321B6B">
            <w:pPr>
              <w:spacing w:before="0"/>
              <w:jc w:val="right"/>
              <w:textAlignment w:val="bottom"/>
              <w:rPr>
                <w:rFonts w:asciiTheme="majorBidi" w:eastAsia="Times New Roman" w:hAnsiTheme="majorBidi" w:cstheme="majorBidi"/>
                <w:color w:val="000000"/>
                <w:kern w:val="24"/>
                <w:sz w:val="24"/>
                <w:szCs w:val="24"/>
                <w:lang w:eastAsia="hr-HR"/>
              </w:rPr>
            </w:pPr>
            <w:r w:rsidRPr="00D200B3">
              <w:rPr>
                <w:rFonts w:asciiTheme="majorBidi" w:eastAsia="Times New Roman" w:hAnsiTheme="majorBidi" w:cstheme="majorBidi"/>
                <w:color w:val="000000"/>
                <w:kern w:val="24"/>
                <w:sz w:val="24"/>
                <w:szCs w:val="24"/>
                <w:lang w:eastAsia="hr-HR"/>
              </w:rPr>
              <w:t>Kapitalna potpora za održivi povratak</w:t>
            </w:r>
          </w:p>
        </w:tc>
        <w:tc>
          <w:tcPr>
            <w:tcW w:w="2551" w:type="dxa"/>
            <w:vAlign w:val="center"/>
          </w:tcPr>
          <w:p w14:paraId="69816833" w14:textId="6A980CF1" w:rsidR="002A2AD1" w:rsidRPr="00D200B3" w:rsidRDefault="005A1D1F" w:rsidP="002A2AD1">
            <w:pPr>
              <w:spacing w:before="0"/>
              <w:jc w:val="center"/>
              <w:textAlignment w:val="bottom"/>
              <w:rPr>
                <w:rFonts w:asciiTheme="majorBidi" w:eastAsia="Times New Roman" w:hAnsiTheme="majorBidi" w:cstheme="majorBidi"/>
                <w:b/>
                <w:bCs/>
                <w:color w:val="002060"/>
                <w:kern w:val="24"/>
                <w:sz w:val="24"/>
                <w:szCs w:val="24"/>
                <w:lang w:eastAsia="hr-HR"/>
              </w:rPr>
            </w:pPr>
            <w:r w:rsidRPr="00D200B3">
              <w:rPr>
                <w:rFonts w:asciiTheme="majorBidi" w:eastAsia="Times New Roman" w:hAnsiTheme="majorBidi" w:cstheme="majorBidi"/>
                <w:b/>
                <w:bCs/>
                <w:color w:val="002060"/>
                <w:kern w:val="24"/>
                <w:sz w:val="24"/>
                <w:szCs w:val="24"/>
                <w:lang w:eastAsia="hr-HR"/>
              </w:rPr>
              <w:t xml:space="preserve">12,5 </w:t>
            </w:r>
            <w:proofErr w:type="spellStart"/>
            <w:r w:rsidRPr="00D200B3">
              <w:rPr>
                <w:rFonts w:asciiTheme="majorBidi" w:eastAsia="Times New Roman" w:hAnsiTheme="majorBidi" w:cstheme="majorBidi"/>
                <w:b/>
                <w:bCs/>
                <w:color w:val="002060"/>
                <w:kern w:val="24"/>
                <w:sz w:val="24"/>
                <w:szCs w:val="24"/>
                <w:lang w:eastAsia="hr-HR"/>
              </w:rPr>
              <w:t>mln</w:t>
            </w:r>
            <w:proofErr w:type="spellEnd"/>
            <w:r w:rsidRPr="00D200B3">
              <w:rPr>
                <w:rFonts w:asciiTheme="majorBidi" w:eastAsia="Times New Roman" w:hAnsiTheme="majorBidi" w:cstheme="majorBidi"/>
                <w:b/>
                <w:bCs/>
                <w:color w:val="002060"/>
                <w:kern w:val="24"/>
                <w:sz w:val="24"/>
                <w:szCs w:val="24"/>
                <w:lang w:eastAsia="hr-HR"/>
              </w:rPr>
              <w:t>. kuna</w:t>
            </w:r>
          </w:p>
        </w:tc>
      </w:tr>
      <w:tr w:rsidR="002A2AD1" w:rsidRPr="006B0EE1" w14:paraId="7540E9CA" w14:textId="77777777" w:rsidTr="00B71103">
        <w:trPr>
          <w:trHeight w:val="567"/>
        </w:trPr>
        <w:tc>
          <w:tcPr>
            <w:tcW w:w="6658" w:type="dxa"/>
            <w:shd w:val="clear" w:color="auto" w:fill="F2F2F2" w:themeFill="background1" w:themeFillShade="F2"/>
            <w:vAlign w:val="center"/>
          </w:tcPr>
          <w:p w14:paraId="034E51D5" w14:textId="703A1BEB" w:rsidR="002A2AD1" w:rsidRPr="00D200B3" w:rsidRDefault="002A2AD1" w:rsidP="00321B6B">
            <w:pPr>
              <w:spacing w:before="0"/>
              <w:jc w:val="right"/>
              <w:textAlignment w:val="bottom"/>
              <w:rPr>
                <w:rFonts w:asciiTheme="majorBidi" w:eastAsia="Times New Roman" w:hAnsiTheme="majorBidi" w:cstheme="majorBidi"/>
                <w:color w:val="000000"/>
                <w:kern w:val="24"/>
                <w:sz w:val="24"/>
                <w:szCs w:val="24"/>
                <w:lang w:eastAsia="hr-HR"/>
              </w:rPr>
            </w:pPr>
            <w:r w:rsidRPr="00D200B3">
              <w:rPr>
                <w:rFonts w:asciiTheme="majorBidi" w:eastAsia="Times New Roman" w:hAnsiTheme="majorBidi" w:cstheme="majorBidi"/>
                <w:color w:val="000000"/>
                <w:kern w:val="24"/>
                <w:sz w:val="24"/>
                <w:szCs w:val="24"/>
                <w:lang w:eastAsia="hr-HR"/>
              </w:rPr>
              <w:t>Obnova i izgradnja u ratu oštećenih stambenih jedinica</w:t>
            </w:r>
          </w:p>
        </w:tc>
        <w:tc>
          <w:tcPr>
            <w:tcW w:w="2551" w:type="dxa"/>
            <w:vAlign w:val="center"/>
          </w:tcPr>
          <w:p w14:paraId="6EA61A03" w14:textId="4A324C62" w:rsidR="002A2AD1" w:rsidRPr="00D200B3" w:rsidRDefault="00DF5D4B" w:rsidP="002A2AD1">
            <w:pPr>
              <w:spacing w:before="0"/>
              <w:jc w:val="center"/>
              <w:textAlignment w:val="bottom"/>
              <w:rPr>
                <w:rFonts w:asciiTheme="majorBidi" w:eastAsia="Times New Roman" w:hAnsiTheme="majorBidi" w:cstheme="majorBidi"/>
                <w:b/>
                <w:bCs/>
                <w:color w:val="002060"/>
                <w:kern w:val="24"/>
                <w:sz w:val="24"/>
                <w:szCs w:val="24"/>
                <w:lang w:eastAsia="hr-HR"/>
              </w:rPr>
            </w:pPr>
            <w:r w:rsidRPr="00D200B3">
              <w:rPr>
                <w:rFonts w:asciiTheme="majorBidi" w:eastAsia="Times New Roman" w:hAnsiTheme="majorBidi" w:cstheme="majorBidi"/>
                <w:b/>
                <w:bCs/>
                <w:color w:val="002060"/>
                <w:kern w:val="24"/>
                <w:sz w:val="24"/>
                <w:szCs w:val="24"/>
                <w:lang w:eastAsia="hr-HR"/>
              </w:rPr>
              <w:t xml:space="preserve">47 </w:t>
            </w:r>
            <w:proofErr w:type="spellStart"/>
            <w:r w:rsidRPr="00D200B3">
              <w:rPr>
                <w:rFonts w:asciiTheme="majorBidi" w:eastAsia="Times New Roman" w:hAnsiTheme="majorBidi" w:cstheme="majorBidi"/>
                <w:b/>
                <w:bCs/>
                <w:color w:val="002060"/>
                <w:kern w:val="24"/>
                <w:sz w:val="24"/>
                <w:szCs w:val="24"/>
                <w:lang w:eastAsia="hr-HR"/>
              </w:rPr>
              <w:t>mln</w:t>
            </w:r>
            <w:proofErr w:type="spellEnd"/>
            <w:r w:rsidRPr="00D200B3">
              <w:rPr>
                <w:rFonts w:asciiTheme="majorBidi" w:eastAsia="Times New Roman" w:hAnsiTheme="majorBidi" w:cstheme="majorBidi"/>
                <w:b/>
                <w:bCs/>
                <w:color w:val="002060"/>
                <w:kern w:val="24"/>
                <w:sz w:val="24"/>
                <w:szCs w:val="24"/>
                <w:lang w:eastAsia="hr-HR"/>
              </w:rPr>
              <w:t>. kuna</w:t>
            </w:r>
          </w:p>
        </w:tc>
      </w:tr>
      <w:tr w:rsidR="002A2AD1" w:rsidRPr="006B0EE1" w14:paraId="41A81279" w14:textId="77777777" w:rsidTr="00B71103">
        <w:trPr>
          <w:trHeight w:val="567"/>
        </w:trPr>
        <w:tc>
          <w:tcPr>
            <w:tcW w:w="6658" w:type="dxa"/>
            <w:shd w:val="clear" w:color="auto" w:fill="F2F2F2" w:themeFill="background1" w:themeFillShade="F2"/>
            <w:vAlign w:val="center"/>
          </w:tcPr>
          <w:p w14:paraId="15C96644" w14:textId="62C26404" w:rsidR="002A2AD1" w:rsidRPr="00D200B3" w:rsidRDefault="002A2AD1" w:rsidP="00321B6B">
            <w:pPr>
              <w:spacing w:before="0"/>
              <w:jc w:val="right"/>
              <w:textAlignment w:val="bottom"/>
              <w:rPr>
                <w:rFonts w:asciiTheme="majorBidi" w:eastAsia="Times New Roman" w:hAnsiTheme="majorBidi" w:cstheme="majorBidi"/>
                <w:color w:val="000000"/>
                <w:kern w:val="24"/>
                <w:sz w:val="24"/>
                <w:szCs w:val="24"/>
                <w:lang w:eastAsia="hr-HR"/>
              </w:rPr>
            </w:pPr>
            <w:r w:rsidRPr="00D200B3">
              <w:rPr>
                <w:rFonts w:asciiTheme="majorBidi" w:eastAsia="Times New Roman" w:hAnsiTheme="majorBidi" w:cstheme="majorBidi"/>
                <w:color w:val="000000"/>
                <w:kern w:val="24"/>
                <w:sz w:val="24"/>
                <w:szCs w:val="24"/>
                <w:lang w:eastAsia="hr-HR"/>
              </w:rPr>
              <w:t>Stambeno zbrinjavanje</w:t>
            </w:r>
          </w:p>
        </w:tc>
        <w:tc>
          <w:tcPr>
            <w:tcW w:w="2551" w:type="dxa"/>
            <w:vAlign w:val="center"/>
          </w:tcPr>
          <w:p w14:paraId="6A650CC7" w14:textId="00EFD7E3" w:rsidR="002A2AD1" w:rsidRPr="00D200B3" w:rsidRDefault="00DF5D4B" w:rsidP="002A2AD1">
            <w:pPr>
              <w:spacing w:before="0"/>
              <w:jc w:val="center"/>
              <w:textAlignment w:val="bottom"/>
              <w:rPr>
                <w:rFonts w:asciiTheme="majorBidi" w:eastAsia="Times New Roman" w:hAnsiTheme="majorBidi" w:cstheme="majorBidi"/>
                <w:b/>
                <w:bCs/>
                <w:color w:val="002060"/>
                <w:kern w:val="24"/>
                <w:sz w:val="24"/>
                <w:szCs w:val="24"/>
                <w:lang w:eastAsia="hr-HR"/>
              </w:rPr>
            </w:pPr>
            <w:r w:rsidRPr="00D200B3">
              <w:rPr>
                <w:rFonts w:asciiTheme="majorBidi" w:eastAsia="Times New Roman" w:hAnsiTheme="majorBidi" w:cstheme="majorBidi"/>
                <w:b/>
                <w:bCs/>
                <w:color w:val="002060"/>
                <w:kern w:val="24"/>
                <w:sz w:val="24"/>
                <w:szCs w:val="24"/>
                <w:lang w:eastAsia="hr-HR"/>
              </w:rPr>
              <w:t xml:space="preserve">373 </w:t>
            </w:r>
            <w:proofErr w:type="spellStart"/>
            <w:r w:rsidRPr="00D200B3">
              <w:rPr>
                <w:rFonts w:asciiTheme="majorBidi" w:eastAsia="Times New Roman" w:hAnsiTheme="majorBidi" w:cstheme="majorBidi"/>
                <w:b/>
                <w:bCs/>
                <w:color w:val="002060"/>
                <w:kern w:val="24"/>
                <w:sz w:val="24"/>
                <w:szCs w:val="24"/>
                <w:lang w:eastAsia="hr-HR"/>
              </w:rPr>
              <w:t>mln</w:t>
            </w:r>
            <w:proofErr w:type="spellEnd"/>
            <w:r w:rsidRPr="00D200B3">
              <w:rPr>
                <w:rFonts w:asciiTheme="majorBidi" w:eastAsia="Times New Roman" w:hAnsiTheme="majorBidi" w:cstheme="majorBidi"/>
                <w:b/>
                <w:bCs/>
                <w:color w:val="002060"/>
                <w:kern w:val="24"/>
                <w:sz w:val="24"/>
                <w:szCs w:val="24"/>
                <w:lang w:eastAsia="hr-HR"/>
              </w:rPr>
              <w:t>. kuna</w:t>
            </w:r>
          </w:p>
        </w:tc>
      </w:tr>
      <w:tr w:rsidR="0024653F" w:rsidRPr="006B0EE1" w14:paraId="23E4B1B4" w14:textId="77777777" w:rsidTr="00B71103">
        <w:trPr>
          <w:trHeight w:val="567"/>
        </w:trPr>
        <w:tc>
          <w:tcPr>
            <w:tcW w:w="6658" w:type="dxa"/>
            <w:shd w:val="clear" w:color="auto" w:fill="F2F2F2" w:themeFill="background1" w:themeFillShade="F2"/>
            <w:vAlign w:val="center"/>
          </w:tcPr>
          <w:p w14:paraId="39B8EAF0" w14:textId="589B00C9" w:rsidR="0024653F" w:rsidRPr="00D200B3" w:rsidRDefault="002A2AD1" w:rsidP="00321B6B">
            <w:pPr>
              <w:spacing w:before="0"/>
              <w:jc w:val="right"/>
              <w:textAlignment w:val="bottom"/>
              <w:rPr>
                <w:rFonts w:asciiTheme="majorBidi" w:eastAsia="Times New Roman" w:hAnsiTheme="majorBidi" w:cstheme="majorBidi"/>
                <w:color w:val="000000"/>
                <w:kern w:val="24"/>
                <w:sz w:val="24"/>
                <w:szCs w:val="24"/>
                <w:lang w:eastAsia="hr-HR"/>
              </w:rPr>
            </w:pPr>
            <w:r w:rsidRPr="00D200B3">
              <w:rPr>
                <w:rFonts w:asciiTheme="majorBidi" w:eastAsia="Times New Roman" w:hAnsiTheme="majorBidi" w:cstheme="majorBidi"/>
                <w:color w:val="000000"/>
                <w:kern w:val="24"/>
                <w:sz w:val="24"/>
                <w:szCs w:val="24"/>
                <w:lang w:eastAsia="hr-HR"/>
              </w:rPr>
              <w:t>Upravljanje i gospodarenje državnom imovinom namijenjenoj za stambeno zbrinjavanje</w:t>
            </w:r>
          </w:p>
        </w:tc>
        <w:tc>
          <w:tcPr>
            <w:tcW w:w="2551" w:type="dxa"/>
            <w:vAlign w:val="center"/>
          </w:tcPr>
          <w:p w14:paraId="0619B941" w14:textId="0A588138" w:rsidR="0024653F" w:rsidRPr="00D200B3" w:rsidRDefault="00C36C5E" w:rsidP="002A2AD1">
            <w:pPr>
              <w:spacing w:before="0"/>
              <w:jc w:val="center"/>
              <w:textAlignment w:val="bottom"/>
              <w:rPr>
                <w:rFonts w:asciiTheme="majorBidi" w:eastAsia="Times New Roman" w:hAnsiTheme="majorBidi" w:cstheme="majorBidi"/>
                <w:b/>
                <w:bCs/>
                <w:color w:val="002060"/>
                <w:kern w:val="24"/>
                <w:sz w:val="24"/>
                <w:szCs w:val="24"/>
                <w:lang w:eastAsia="hr-HR"/>
              </w:rPr>
            </w:pPr>
            <w:r w:rsidRPr="00D200B3">
              <w:rPr>
                <w:rFonts w:asciiTheme="majorBidi" w:eastAsia="Times New Roman" w:hAnsiTheme="majorBidi" w:cstheme="majorBidi"/>
                <w:b/>
                <w:bCs/>
                <w:color w:val="002060"/>
                <w:kern w:val="24"/>
                <w:sz w:val="24"/>
                <w:szCs w:val="24"/>
                <w:lang w:eastAsia="hr-HR"/>
              </w:rPr>
              <w:t xml:space="preserve">40,5 </w:t>
            </w:r>
            <w:proofErr w:type="spellStart"/>
            <w:r w:rsidR="0024653F" w:rsidRPr="00D200B3">
              <w:rPr>
                <w:rFonts w:asciiTheme="majorBidi" w:eastAsia="Times New Roman" w:hAnsiTheme="majorBidi" w:cstheme="majorBidi"/>
                <w:b/>
                <w:bCs/>
                <w:color w:val="002060"/>
                <w:kern w:val="24"/>
                <w:sz w:val="24"/>
                <w:szCs w:val="24"/>
                <w:lang w:eastAsia="hr-HR"/>
              </w:rPr>
              <w:t>mln</w:t>
            </w:r>
            <w:proofErr w:type="spellEnd"/>
            <w:r w:rsidR="0024653F" w:rsidRPr="00D200B3">
              <w:rPr>
                <w:rFonts w:asciiTheme="majorBidi" w:eastAsia="Times New Roman" w:hAnsiTheme="majorBidi" w:cstheme="majorBidi"/>
                <w:b/>
                <w:bCs/>
                <w:color w:val="002060"/>
                <w:kern w:val="24"/>
                <w:sz w:val="24"/>
                <w:szCs w:val="24"/>
                <w:lang w:eastAsia="hr-HR"/>
              </w:rPr>
              <w:t>. kuna</w:t>
            </w:r>
          </w:p>
        </w:tc>
      </w:tr>
      <w:tr w:rsidR="002A2AD1" w:rsidRPr="006B0EE1" w14:paraId="38D4134E" w14:textId="77777777" w:rsidTr="00B71103">
        <w:trPr>
          <w:trHeight w:val="567"/>
        </w:trPr>
        <w:tc>
          <w:tcPr>
            <w:tcW w:w="6658" w:type="dxa"/>
            <w:shd w:val="clear" w:color="auto" w:fill="F2F2F2" w:themeFill="background1" w:themeFillShade="F2"/>
            <w:vAlign w:val="center"/>
          </w:tcPr>
          <w:p w14:paraId="5B265425" w14:textId="1E7A0A72" w:rsidR="002A2AD1" w:rsidRPr="00D200B3" w:rsidRDefault="002A2AD1" w:rsidP="00321B6B">
            <w:pPr>
              <w:spacing w:before="0"/>
              <w:jc w:val="right"/>
              <w:textAlignment w:val="bottom"/>
              <w:rPr>
                <w:rFonts w:asciiTheme="majorBidi" w:eastAsia="Times New Roman" w:hAnsiTheme="majorBidi" w:cstheme="majorBidi"/>
                <w:color w:val="000000"/>
                <w:kern w:val="24"/>
                <w:sz w:val="24"/>
                <w:szCs w:val="24"/>
                <w:lang w:eastAsia="hr-HR"/>
              </w:rPr>
            </w:pPr>
            <w:r w:rsidRPr="00D200B3">
              <w:rPr>
                <w:rFonts w:asciiTheme="majorBidi" w:eastAsia="Times New Roman" w:hAnsiTheme="majorBidi" w:cstheme="majorBidi"/>
                <w:color w:val="000000"/>
                <w:kern w:val="24"/>
                <w:sz w:val="24"/>
                <w:szCs w:val="24"/>
                <w:lang w:eastAsia="hr-HR"/>
              </w:rPr>
              <w:t>Poticanje obnove kuća od I-IV stupnja oštećenja</w:t>
            </w:r>
          </w:p>
        </w:tc>
        <w:tc>
          <w:tcPr>
            <w:tcW w:w="2551" w:type="dxa"/>
            <w:vAlign w:val="center"/>
          </w:tcPr>
          <w:p w14:paraId="687703A7" w14:textId="62352507" w:rsidR="002A2AD1" w:rsidRPr="00D200B3" w:rsidRDefault="00C36C5E" w:rsidP="002A2AD1">
            <w:pPr>
              <w:spacing w:before="0"/>
              <w:jc w:val="center"/>
              <w:textAlignment w:val="bottom"/>
              <w:rPr>
                <w:rFonts w:asciiTheme="majorBidi" w:eastAsia="Times New Roman" w:hAnsiTheme="majorBidi" w:cstheme="majorBidi"/>
                <w:b/>
                <w:bCs/>
                <w:color w:val="002060"/>
                <w:kern w:val="24"/>
                <w:sz w:val="24"/>
                <w:szCs w:val="24"/>
                <w:lang w:eastAsia="hr-HR"/>
              </w:rPr>
            </w:pPr>
            <w:r w:rsidRPr="00D200B3">
              <w:rPr>
                <w:rFonts w:asciiTheme="majorBidi" w:eastAsia="Times New Roman" w:hAnsiTheme="majorBidi" w:cstheme="majorBidi"/>
                <w:b/>
                <w:bCs/>
                <w:color w:val="002060"/>
                <w:kern w:val="24"/>
                <w:sz w:val="24"/>
                <w:szCs w:val="24"/>
                <w:lang w:eastAsia="hr-HR"/>
              </w:rPr>
              <w:t xml:space="preserve">1,2 </w:t>
            </w:r>
            <w:proofErr w:type="spellStart"/>
            <w:r w:rsidRPr="00D200B3">
              <w:rPr>
                <w:rFonts w:asciiTheme="majorBidi" w:eastAsia="Times New Roman" w:hAnsiTheme="majorBidi" w:cstheme="majorBidi"/>
                <w:b/>
                <w:bCs/>
                <w:color w:val="002060"/>
                <w:kern w:val="24"/>
                <w:sz w:val="24"/>
                <w:szCs w:val="24"/>
                <w:lang w:eastAsia="hr-HR"/>
              </w:rPr>
              <w:t>mln</w:t>
            </w:r>
            <w:proofErr w:type="spellEnd"/>
            <w:r w:rsidRPr="00D200B3">
              <w:rPr>
                <w:rFonts w:asciiTheme="majorBidi" w:eastAsia="Times New Roman" w:hAnsiTheme="majorBidi" w:cstheme="majorBidi"/>
                <w:b/>
                <w:bCs/>
                <w:color w:val="002060"/>
                <w:kern w:val="24"/>
                <w:sz w:val="24"/>
                <w:szCs w:val="24"/>
                <w:lang w:eastAsia="hr-HR"/>
              </w:rPr>
              <w:t>. kuna</w:t>
            </w:r>
          </w:p>
        </w:tc>
      </w:tr>
      <w:tr w:rsidR="002A2AD1" w:rsidRPr="006B0EE1" w14:paraId="362D52F6" w14:textId="77777777" w:rsidTr="00B71103">
        <w:trPr>
          <w:trHeight w:val="567"/>
        </w:trPr>
        <w:tc>
          <w:tcPr>
            <w:tcW w:w="6658" w:type="dxa"/>
            <w:shd w:val="clear" w:color="auto" w:fill="F2F2F2" w:themeFill="background1" w:themeFillShade="F2"/>
            <w:vAlign w:val="center"/>
          </w:tcPr>
          <w:p w14:paraId="2BA30944" w14:textId="14CB9D73" w:rsidR="002A2AD1" w:rsidRPr="00D200B3" w:rsidRDefault="002A2AD1" w:rsidP="00321B6B">
            <w:pPr>
              <w:spacing w:before="0"/>
              <w:jc w:val="right"/>
              <w:textAlignment w:val="bottom"/>
              <w:rPr>
                <w:rFonts w:asciiTheme="majorBidi" w:eastAsia="Times New Roman" w:hAnsiTheme="majorBidi" w:cstheme="majorBidi"/>
                <w:color w:val="000000"/>
                <w:kern w:val="24"/>
                <w:sz w:val="24"/>
                <w:szCs w:val="24"/>
                <w:lang w:eastAsia="hr-HR"/>
              </w:rPr>
            </w:pPr>
            <w:r w:rsidRPr="00D200B3">
              <w:rPr>
                <w:rFonts w:asciiTheme="majorBidi" w:eastAsia="Times New Roman" w:hAnsiTheme="majorBidi" w:cstheme="majorBidi"/>
                <w:color w:val="000000"/>
                <w:kern w:val="24"/>
                <w:sz w:val="24"/>
                <w:szCs w:val="24"/>
                <w:lang w:eastAsia="hr-HR"/>
              </w:rPr>
              <w:t>Financiranje pojedinačnih komunalnih priključaka</w:t>
            </w:r>
          </w:p>
        </w:tc>
        <w:tc>
          <w:tcPr>
            <w:tcW w:w="2551" w:type="dxa"/>
            <w:vAlign w:val="center"/>
          </w:tcPr>
          <w:p w14:paraId="28A75324" w14:textId="3E0A4B41" w:rsidR="002A2AD1" w:rsidRPr="00D200B3" w:rsidRDefault="00C36C5E" w:rsidP="002A2AD1">
            <w:pPr>
              <w:spacing w:before="0"/>
              <w:jc w:val="center"/>
              <w:textAlignment w:val="bottom"/>
              <w:rPr>
                <w:rFonts w:asciiTheme="majorBidi" w:eastAsia="Times New Roman" w:hAnsiTheme="majorBidi" w:cstheme="majorBidi"/>
                <w:b/>
                <w:bCs/>
                <w:color w:val="002060"/>
                <w:kern w:val="24"/>
                <w:sz w:val="24"/>
                <w:szCs w:val="24"/>
                <w:lang w:eastAsia="hr-HR"/>
              </w:rPr>
            </w:pPr>
            <w:r w:rsidRPr="00D200B3">
              <w:rPr>
                <w:rFonts w:asciiTheme="majorBidi" w:eastAsia="Times New Roman" w:hAnsiTheme="majorBidi" w:cstheme="majorBidi"/>
                <w:b/>
                <w:bCs/>
                <w:color w:val="002060"/>
                <w:kern w:val="24"/>
                <w:sz w:val="24"/>
                <w:szCs w:val="24"/>
                <w:lang w:eastAsia="hr-HR"/>
              </w:rPr>
              <w:t xml:space="preserve">5,3 </w:t>
            </w:r>
            <w:proofErr w:type="spellStart"/>
            <w:r w:rsidRPr="00D200B3">
              <w:rPr>
                <w:rFonts w:asciiTheme="majorBidi" w:eastAsia="Times New Roman" w:hAnsiTheme="majorBidi" w:cstheme="majorBidi"/>
                <w:b/>
                <w:bCs/>
                <w:color w:val="002060"/>
                <w:kern w:val="24"/>
                <w:sz w:val="24"/>
                <w:szCs w:val="24"/>
                <w:lang w:eastAsia="hr-HR"/>
              </w:rPr>
              <w:t>mln</w:t>
            </w:r>
            <w:proofErr w:type="spellEnd"/>
            <w:r w:rsidRPr="00D200B3">
              <w:rPr>
                <w:rFonts w:asciiTheme="majorBidi" w:eastAsia="Times New Roman" w:hAnsiTheme="majorBidi" w:cstheme="majorBidi"/>
                <w:b/>
                <w:bCs/>
                <w:color w:val="002060"/>
                <w:kern w:val="24"/>
                <w:sz w:val="24"/>
                <w:szCs w:val="24"/>
                <w:lang w:eastAsia="hr-HR"/>
              </w:rPr>
              <w:t>. kuna</w:t>
            </w:r>
          </w:p>
        </w:tc>
      </w:tr>
      <w:tr w:rsidR="00F730EE" w:rsidRPr="00AD7487" w14:paraId="09B14DC0" w14:textId="77777777" w:rsidTr="00F730EE">
        <w:trPr>
          <w:trHeight w:val="567"/>
        </w:trPr>
        <w:tc>
          <w:tcPr>
            <w:tcW w:w="6658" w:type="dxa"/>
            <w:vAlign w:val="center"/>
            <w:hideMark/>
          </w:tcPr>
          <w:p w14:paraId="5207D86B" w14:textId="33F3D070" w:rsidR="00F730EE" w:rsidRPr="00D200B3" w:rsidRDefault="00F730EE" w:rsidP="00F730EE">
            <w:pPr>
              <w:spacing w:before="0"/>
              <w:jc w:val="center"/>
              <w:textAlignment w:val="bottom"/>
              <w:rPr>
                <w:rFonts w:asciiTheme="majorBidi" w:eastAsia="Times New Roman" w:hAnsiTheme="majorBidi" w:cstheme="majorBidi"/>
                <w:b/>
                <w:bCs/>
                <w:sz w:val="24"/>
                <w:szCs w:val="24"/>
                <w:lang w:eastAsia="hr-HR"/>
              </w:rPr>
            </w:pPr>
            <w:r>
              <w:rPr>
                <w:rFonts w:asciiTheme="majorBidi" w:eastAsia="Times New Roman" w:hAnsiTheme="majorBidi" w:cstheme="majorBidi"/>
                <w:b/>
                <w:bCs/>
                <w:color w:val="002060"/>
                <w:kern w:val="24"/>
                <w:sz w:val="24"/>
                <w:szCs w:val="24"/>
                <w:lang w:eastAsia="hr-HR"/>
              </w:rPr>
              <w:t>UKUPNO</w:t>
            </w:r>
          </w:p>
        </w:tc>
        <w:tc>
          <w:tcPr>
            <w:tcW w:w="2551" w:type="dxa"/>
            <w:vAlign w:val="center"/>
          </w:tcPr>
          <w:p w14:paraId="4CF90E95" w14:textId="4F619241" w:rsidR="00F730EE" w:rsidRPr="00D200B3" w:rsidRDefault="00772DBC" w:rsidP="00F730EE">
            <w:pPr>
              <w:spacing w:before="0"/>
              <w:jc w:val="center"/>
              <w:textAlignment w:val="bottom"/>
              <w:rPr>
                <w:rFonts w:asciiTheme="majorBidi" w:eastAsia="Times New Roman" w:hAnsiTheme="majorBidi" w:cstheme="majorBidi"/>
                <w:b/>
                <w:bCs/>
                <w:sz w:val="24"/>
                <w:szCs w:val="24"/>
                <w:lang w:eastAsia="hr-HR"/>
              </w:rPr>
            </w:pPr>
            <w:r>
              <w:rPr>
                <w:rFonts w:asciiTheme="majorBidi" w:eastAsia="Times New Roman" w:hAnsiTheme="majorBidi" w:cstheme="majorBidi"/>
                <w:b/>
                <w:bCs/>
                <w:color w:val="002060"/>
                <w:kern w:val="24"/>
                <w:sz w:val="24"/>
                <w:szCs w:val="24"/>
                <w:lang w:eastAsia="hr-HR"/>
              </w:rPr>
              <w:t xml:space="preserve">956 </w:t>
            </w:r>
            <w:proofErr w:type="spellStart"/>
            <w:r>
              <w:rPr>
                <w:rFonts w:asciiTheme="majorBidi" w:eastAsia="Times New Roman" w:hAnsiTheme="majorBidi" w:cstheme="majorBidi"/>
                <w:b/>
                <w:bCs/>
                <w:color w:val="002060"/>
                <w:kern w:val="24"/>
                <w:sz w:val="24"/>
                <w:szCs w:val="24"/>
                <w:lang w:eastAsia="hr-HR"/>
              </w:rPr>
              <w:t>mln</w:t>
            </w:r>
            <w:proofErr w:type="spellEnd"/>
            <w:r w:rsidR="00F730EE" w:rsidRPr="00D200B3">
              <w:rPr>
                <w:rFonts w:asciiTheme="majorBidi" w:eastAsia="Times New Roman" w:hAnsiTheme="majorBidi" w:cstheme="majorBidi"/>
                <w:b/>
                <w:bCs/>
                <w:color w:val="002060"/>
                <w:kern w:val="24"/>
                <w:sz w:val="24"/>
                <w:szCs w:val="24"/>
                <w:lang w:eastAsia="hr-HR"/>
              </w:rPr>
              <w:t xml:space="preserve"> kuna</w:t>
            </w:r>
          </w:p>
        </w:tc>
      </w:tr>
    </w:tbl>
    <w:p w14:paraId="319165EC" w14:textId="77777777" w:rsidR="00DC31D7" w:rsidRDefault="00B4048D" w:rsidP="00B4048D">
      <w:pPr>
        <w:spacing w:before="0"/>
        <w:jc w:val="both"/>
        <w:rPr>
          <w:rFonts w:ascii="Times New Roman" w:hAnsi="Times New Roman" w:cs="Times New Roman"/>
          <w:bCs/>
          <w:sz w:val="24"/>
          <w:szCs w:val="24"/>
        </w:rPr>
      </w:pPr>
      <w:r>
        <w:rPr>
          <w:rFonts w:ascii="Times New Roman" w:hAnsi="Times New Roman" w:cs="Times New Roman"/>
          <w:bCs/>
          <w:sz w:val="24"/>
          <w:szCs w:val="24"/>
        </w:rPr>
        <w:t>Također</w:t>
      </w:r>
      <w:r w:rsidR="001424DD">
        <w:rPr>
          <w:rFonts w:ascii="Times New Roman" w:hAnsi="Times New Roman" w:cs="Times New Roman"/>
          <w:bCs/>
          <w:sz w:val="24"/>
          <w:szCs w:val="24"/>
        </w:rPr>
        <w:t>, sr</w:t>
      </w:r>
      <w:r>
        <w:rPr>
          <w:rFonts w:ascii="Times New Roman" w:hAnsi="Times New Roman" w:cs="Times New Roman"/>
          <w:bCs/>
          <w:sz w:val="24"/>
          <w:szCs w:val="24"/>
        </w:rPr>
        <w:t xml:space="preserve">edstva su planirana kroz Integrirani teritorijalni program </w:t>
      </w:r>
      <w:r w:rsidR="001424DD">
        <w:rPr>
          <w:rFonts w:ascii="Times New Roman" w:hAnsi="Times New Roman" w:cs="Times New Roman"/>
          <w:bCs/>
          <w:sz w:val="24"/>
          <w:szCs w:val="24"/>
        </w:rPr>
        <w:t>te</w:t>
      </w:r>
      <w:r>
        <w:rPr>
          <w:rFonts w:ascii="Times New Roman" w:hAnsi="Times New Roman" w:cs="Times New Roman"/>
          <w:bCs/>
          <w:sz w:val="24"/>
          <w:szCs w:val="24"/>
        </w:rPr>
        <w:t xml:space="preserve"> služe razvoju i revitalizaciji potpomognutih područja Republike Hrvatske</w:t>
      </w:r>
      <w:r w:rsidR="00285F66">
        <w:rPr>
          <w:rFonts w:ascii="Times New Roman" w:hAnsi="Times New Roman" w:cs="Times New Roman"/>
          <w:bCs/>
          <w:sz w:val="24"/>
          <w:szCs w:val="24"/>
        </w:rPr>
        <w:t xml:space="preserve">. </w:t>
      </w:r>
      <w:r>
        <w:rPr>
          <w:rFonts w:ascii="Times New Roman" w:hAnsi="Times New Roman" w:cs="Times New Roman"/>
          <w:bCs/>
          <w:sz w:val="24"/>
          <w:szCs w:val="24"/>
        </w:rPr>
        <w:t>Nakon usvajanja ITP-a konkretizirati će se aktivnosti i projekti koji će doprinijeti društvenoj i gospodarskoj revitalizaciji potpomognutih područja.</w:t>
      </w:r>
    </w:p>
    <w:p w14:paraId="5274E2CF" w14:textId="50D0E6BC" w:rsidR="00816ADC" w:rsidRPr="00D83C5C" w:rsidRDefault="00285F66" w:rsidP="00D83C5C">
      <w:pPr>
        <w:shd w:val="clear" w:color="auto" w:fill="BDD6EE" w:themeFill="accent1" w:themeFillTint="6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83C5C" w:rsidRPr="00D83C5C">
        <w:rPr>
          <w:rFonts w:ascii="Times New Roman" w:hAnsi="Times New Roman" w:cs="Times New Roman"/>
          <w:bCs/>
          <w:sz w:val="24"/>
          <w:szCs w:val="24"/>
        </w:rPr>
        <w:t xml:space="preserve">Planirana sredstva u okviru ITP-a za potpomognuta područja u razdoblju 2021. – 2027. iznose 2,6 </w:t>
      </w:r>
      <w:proofErr w:type="spellStart"/>
      <w:r w:rsidR="00D83C5C" w:rsidRPr="00D83C5C">
        <w:rPr>
          <w:rFonts w:ascii="Times New Roman" w:hAnsi="Times New Roman" w:cs="Times New Roman"/>
          <w:bCs/>
          <w:sz w:val="24"/>
          <w:szCs w:val="24"/>
        </w:rPr>
        <w:t>mlrd</w:t>
      </w:r>
      <w:proofErr w:type="spellEnd"/>
      <w:r w:rsidR="00D83C5C" w:rsidRPr="00D83C5C">
        <w:rPr>
          <w:rFonts w:ascii="Times New Roman" w:hAnsi="Times New Roman" w:cs="Times New Roman"/>
          <w:bCs/>
          <w:sz w:val="24"/>
          <w:szCs w:val="24"/>
        </w:rPr>
        <w:t xml:space="preserve"> kuna te ukupna alokacija za potpomognuta područja iznosi 3,5 </w:t>
      </w:r>
      <w:proofErr w:type="spellStart"/>
      <w:r w:rsidR="00D83C5C" w:rsidRPr="00D83C5C">
        <w:rPr>
          <w:rFonts w:ascii="Times New Roman" w:hAnsi="Times New Roman" w:cs="Times New Roman"/>
          <w:bCs/>
          <w:sz w:val="24"/>
          <w:szCs w:val="24"/>
        </w:rPr>
        <w:t>mlrd</w:t>
      </w:r>
      <w:proofErr w:type="spellEnd"/>
      <w:r w:rsidR="00D83C5C" w:rsidRPr="00D83C5C">
        <w:rPr>
          <w:rFonts w:ascii="Times New Roman" w:hAnsi="Times New Roman" w:cs="Times New Roman"/>
          <w:bCs/>
          <w:sz w:val="24"/>
          <w:szCs w:val="24"/>
        </w:rPr>
        <w:t xml:space="preserve"> kuna.</w:t>
      </w:r>
    </w:p>
    <w:p w14:paraId="55F1F861" w14:textId="4234CCC9" w:rsidR="00FC2838" w:rsidRPr="00816ADC" w:rsidRDefault="005B75A4" w:rsidP="00CA63B9">
      <w:pPr>
        <w:pStyle w:val="Heading1"/>
        <w:numPr>
          <w:ilvl w:val="0"/>
          <w:numId w:val="43"/>
        </w:numPr>
        <w:shd w:val="clear" w:color="auto" w:fill="DEEAF6" w:themeFill="accent1" w:themeFillTint="33"/>
        <w:spacing w:before="0"/>
        <w:rPr>
          <w:rFonts w:ascii="Times New Roman" w:eastAsia="Calibri" w:hAnsi="Times New Roman" w:cs="Times New Roman"/>
          <w:b/>
          <w:bCs/>
          <w:color w:val="auto"/>
          <w:sz w:val="28"/>
          <w:szCs w:val="28"/>
        </w:rPr>
      </w:pPr>
      <w:bookmarkStart w:id="41" w:name="_Toc95891872"/>
      <w:r w:rsidRPr="00C0186C">
        <w:rPr>
          <w:rFonts w:ascii="Times New Roman" w:hAnsi="Times New Roman" w:cs="Times New Roman"/>
          <w:b/>
          <w:bCs/>
          <w:color w:val="auto"/>
          <w:sz w:val="28"/>
          <w:szCs w:val="28"/>
        </w:rPr>
        <w:t>ZAKLJUČAK</w:t>
      </w:r>
      <w:bookmarkEnd w:id="41"/>
    </w:p>
    <w:p w14:paraId="3ED27456" w14:textId="77777777" w:rsidR="00181281" w:rsidRPr="00B71103" w:rsidRDefault="00181281" w:rsidP="00B71103">
      <w:pPr>
        <w:spacing w:before="0" w:after="0"/>
        <w:rPr>
          <w:rFonts w:ascii="Times New Roman" w:hAnsi="Times New Roman" w:cs="Times New Roman"/>
          <w:sz w:val="24"/>
          <w:szCs w:val="24"/>
        </w:rPr>
      </w:pPr>
    </w:p>
    <w:p w14:paraId="2AC5CB94" w14:textId="48C415A4" w:rsidR="00FC2838" w:rsidRPr="00C0186C" w:rsidRDefault="00FC2838" w:rsidP="00B70EE8">
      <w:pPr>
        <w:spacing w:before="0" w:after="0"/>
        <w:jc w:val="both"/>
        <w:rPr>
          <w:rFonts w:ascii="Times New Roman" w:hAnsi="Times New Roman" w:cs="Times New Roman"/>
          <w:strike/>
          <w:sz w:val="24"/>
          <w:szCs w:val="24"/>
        </w:rPr>
      </w:pPr>
      <w:r w:rsidRPr="00C0186C">
        <w:rPr>
          <w:rFonts w:ascii="Times New Roman" w:hAnsi="Times New Roman" w:cs="Times New Roman"/>
          <w:sz w:val="24"/>
          <w:szCs w:val="24"/>
        </w:rPr>
        <w:t>Program održivog društvenog i gospodarskog razvoja potpomognutih područja odnosi se n</w:t>
      </w:r>
      <w:r w:rsidR="0037078A" w:rsidRPr="00C0186C">
        <w:rPr>
          <w:rFonts w:ascii="Times New Roman" w:hAnsi="Times New Roman" w:cs="Times New Roman"/>
          <w:sz w:val="24"/>
          <w:szCs w:val="24"/>
        </w:rPr>
        <w:t>a četverogodišnje razdoblje 202</w:t>
      </w:r>
      <w:r w:rsidR="00A759C0">
        <w:rPr>
          <w:rFonts w:ascii="Times New Roman" w:hAnsi="Times New Roman" w:cs="Times New Roman"/>
          <w:sz w:val="24"/>
          <w:szCs w:val="24"/>
        </w:rPr>
        <w:t>2</w:t>
      </w:r>
      <w:r w:rsidR="0037078A" w:rsidRPr="00C0186C">
        <w:rPr>
          <w:rFonts w:ascii="Times New Roman" w:hAnsi="Times New Roman" w:cs="Times New Roman"/>
          <w:sz w:val="24"/>
          <w:szCs w:val="24"/>
        </w:rPr>
        <w:t>.-202</w:t>
      </w:r>
      <w:r w:rsidR="00A759C0">
        <w:rPr>
          <w:rFonts w:ascii="Times New Roman" w:hAnsi="Times New Roman" w:cs="Times New Roman"/>
          <w:sz w:val="24"/>
          <w:szCs w:val="24"/>
        </w:rPr>
        <w:t>5</w:t>
      </w:r>
      <w:r w:rsidRPr="00C0186C">
        <w:rPr>
          <w:rFonts w:ascii="Times New Roman" w:hAnsi="Times New Roman" w:cs="Times New Roman"/>
          <w:sz w:val="24"/>
          <w:szCs w:val="24"/>
        </w:rPr>
        <w:t xml:space="preserve">. Izrađen je temeljem zakonske obveze, odnosno odredbi novog Zakona o potpomognutim područjima koji vrijedi od siječnja 2019. godine. Na osnovu prethodno izvršenog detaljnog analitičkog pristupa, te uvažavajući partnerski model izrade strateških dokumenata, definirana su dva strateška cilja usmjerena na ublažavanje ključnih razvojnih problema </w:t>
      </w:r>
      <w:r w:rsidR="007038CF" w:rsidRPr="00C0186C">
        <w:rPr>
          <w:rFonts w:ascii="Times New Roman" w:hAnsi="Times New Roman" w:cs="Times New Roman"/>
          <w:sz w:val="24"/>
          <w:szCs w:val="24"/>
        </w:rPr>
        <w:t>JLS</w:t>
      </w:r>
      <w:r w:rsidR="002E388A" w:rsidRPr="00C0186C">
        <w:rPr>
          <w:rFonts w:ascii="Times New Roman" w:hAnsi="Times New Roman" w:cs="Times New Roman"/>
          <w:sz w:val="24"/>
          <w:szCs w:val="24"/>
        </w:rPr>
        <w:t>-ova</w:t>
      </w:r>
      <w:r w:rsidRPr="00C0186C">
        <w:rPr>
          <w:rFonts w:ascii="Times New Roman" w:hAnsi="Times New Roman" w:cs="Times New Roman"/>
          <w:sz w:val="24"/>
          <w:szCs w:val="24"/>
        </w:rPr>
        <w:t xml:space="preserve"> sa statusom PP</w:t>
      </w:r>
      <w:r w:rsidR="002E388A" w:rsidRPr="00C0186C">
        <w:rPr>
          <w:rFonts w:ascii="Times New Roman" w:hAnsi="Times New Roman" w:cs="Times New Roman"/>
          <w:sz w:val="24"/>
          <w:szCs w:val="24"/>
        </w:rPr>
        <w:t>-a</w:t>
      </w:r>
      <w:r w:rsidRPr="00C0186C">
        <w:rPr>
          <w:rFonts w:ascii="Times New Roman" w:hAnsi="Times New Roman" w:cs="Times New Roman"/>
          <w:sz w:val="24"/>
          <w:szCs w:val="24"/>
        </w:rPr>
        <w:t xml:space="preserve">: 1. Povećanje zaposlenosti i dohotka; te 2.: Demografska revitalizacija. </w:t>
      </w:r>
      <w:r w:rsidR="00046F91" w:rsidRPr="00046F91">
        <w:rPr>
          <w:rFonts w:ascii="Times New Roman" w:hAnsi="Times New Roman" w:cs="Times New Roman"/>
          <w:sz w:val="24"/>
          <w:szCs w:val="24"/>
        </w:rPr>
        <w:t>U svrhu izrade Programa formirana je Radna skupina. Kao članovi Radne skupine sudjelovali su čelnici tijela državne uprave, čelnici tijela lokalne i regionalne samouprave, predstavnici obrtničke i gospodarske komore. Predstavnici, poduzetničk</w:t>
      </w:r>
      <w:r w:rsidR="00686759">
        <w:rPr>
          <w:rFonts w:ascii="Times New Roman" w:hAnsi="Times New Roman" w:cs="Times New Roman"/>
          <w:sz w:val="24"/>
          <w:szCs w:val="24"/>
        </w:rPr>
        <w:t>ih</w:t>
      </w:r>
      <w:r w:rsidR="00046F91" w:rsidRPr="00046F91">
        <w:rPr>
          <w:rFonts w:ascii="Times New Roman" w:hAnsi="Times New Roman" w:cs="Times New Roman"/>
          <w:sz w:val="24"/>
          <w:szCs w:val="24"/>
        </w:rPr>
        <w:t xml:space="preserve"> potporn</w:t>
      </w:r>
      <w:r w:rsidR="00686759">
        <w:rPr>
          <w:rFonts w:ascii="Times New Roman" w:hAnsi="Times New Roman" w:cs="Times New Roman"/>
          <w:sz w:val="24"/>
          <w:szCs w:val="24"/>
        </w:rPr>
        <w:t>ih</w:t>
      </w:r>
      <w:r w:rsidR="00046F91" w:rsidRPr="00046F91">
        <w:rPr>
          <w:rFonts w:ascii="Times New Roman" w:hAnsi="Times New Roman" w:cs="Times New Roman"/>
          <w:sz w:val="24"/>
          <w:szCs w:val="24"/>
        </w:rPr>
        <w:t xml:space="preserve"> instituci</w:t>
      </w:r>
      <w:r w:rsidR="00686759">
        <w:rPr>
          <w:rFonts w:ascii="Times New Roman" w:hAnsi="Times New Roman" w:cs="Times New Roman"/>
          <w:sz w:val="24"/>
          <w:szCs w:val="24"/>
        </w:rPr>
        <w:t>ja</w:t>
      </w:r>
      <w:r w:rsidR="00046F91" w:rsidRPr="00046F91">
        <w:rPr>
          <w:rFonts w:ascii="Times New Roman" w:hAnsi="Times New Roman" w:cs="Times New Roman"/>
          <w:sz w:val="24"/>
          <w:szCs w:val="24"/>
        </w:rPr>
        <w:t xml:space="preserve">, zainteresirane fizičke osobe  dostavili su svoja očitovanja na Program putem portala </w:t>
      </w:r>
      <w:proofErr w:type="spellStart"/>
      <w:r w:rsidR="00046F91" w:rsidRPr="00046F91">
        <w:rPr>
          <w:rFonts w:ascii="Times New Roman" w:hAnsi="Times New Roman" w:cs="Times New Roman"/>
          <w:sz w:val="24"/>
          <w:szCs w:val="24"/>
        </w:rPr>
        <w:t>eSavjetovanje</w:t>
      </w:r>
      <w:proofErr w:type="spellEnd"/>
      <w:r w:rsidR="00046F91" w:rsidRPr="00046F91">
        <w:rPr>
          <w:rFonts w:ascii="Times New Roman" w:hAnsi="Times New Roman" w:cs="Times New Roman"/>
          <w:sz w:val="24"/>
          <w:szCs w:val="24"/>
        </w:rPr>
        <w:t xml:space="preserve">, te su na taj način sudjelovali u kreiranju sadržaja Programa. Radi se o izuzetno efikasnom pristupu s interdisciplinarnim sastavom Radne skupine. </w:t>
      </w:r>
      <w:r w:rsidRPr="00C0186C">
        <w:rPr>
          <w:rFonts w:ascii="Times New Roman" w:hAnsi="Times New Roman" w:cs="Times New Roman"/>
          <w:sz w:val="24"/>
          <w:szCs w:val="24"/>
        </w:rPr>
        <w:t>Za uspješnu realizaciju navedenih komplementarn</w:t>
      </w:r>
      <w:r w:rsidR="00F1644E" w:rsidRPr="00C0186C">
        <w:rPr>
          <w:rFonts w:ascii="Times New Roman" w:hAnsi="Times New Roman" w:cs="Times New Roman"/>
          <w:sz w:val="24"/>
          <w:szCs w:val="24"/>
        </w:rPr>
        <w:t>ih ciljeva, predložene su mjere te</w:t>
      </w:r>
      <w:r w:rsidRPr="00C0186C">
        <w:rPr>
          <w:rFonts w:ascii="Times New Roman" w:hAnsi="Times New Roman" w:cs="Times New Roman"/>
          <w:sz w:val="24"/>
          <w:szCs w:val="24"/>
        </w:rPr>
        <w:t xml:space="preserve"> grupe</w:t>
      </w:r>
      <w:r w:rsidR="00F1644E" w:rsidRPr="00C0186C">
        <w:rPr>
          <w:rFonts w:ascii="Times New Roman" w:hAnsi="Times New Roman" w:cs="Times New Roman"/>
          <w:sz w:val="24"/>
          <w:szCs w:val="24"/>
        </w:rPr>
        <w:t xml:space="preserve"> mogućih</w:t>
      </w:r>
      <w:r w:rsidR="00D0420F" w:rsidRPr="00C0186C">
        <w:rPr>
          <w:rFonts w:ascii="Times New Roman" w:hAnsi="Times New Roman" w:cs="Times New Roman"/>
          <w:sz w:val="24"/>
          <w:szCs w:val="24"/>
        </w:rPr>
        <w:t xml:space="preserve"> aktivnosti.</w:t>
      </w:r>
    </w:p>
    <w:p w14:paraId="011FB96C" w14:textId="77777777" w:rsidR="00A25527" w:rsidRPr="00C0186C" w:rsidRDefault="00A25527" w:rsidP="00B70EE8">
      <w:pPr>
        <w:spacing w:before="0" w:after="0"/>
        <w:jc w:val="both"/>
        <w:rPr>
          <w:rFonts w:ascii="Times New Roman" w:hAnsi="Times New Roman" w:cs="Times New Roman"/>
          <w:strike/>
          <w:sz w:val="24"/>
          <w:szCs w:val="24"/>
        </w:rPr>
      </w:pPr>
    </w:p>
    <w:p w14:paraId="391910BE" w14:textId="77777777" w:rsidR="00A25527" w:rsidRPr="00C0186C" w:rsidRDefault="00A25527"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 xml:space="preserve">Dugogodišnji trend pada gospodarske aktivnosti iscrpio je financijske i kapitalne kapacitete lokalnih poduzeća i poduzetnika. Neuspjeh gospodarskog rasta i razvoja ovog područja, ogromne štete u Domovinskom ratu, neuspjela gospodarska tranzicija uzrokovali su dramatičan trend iseljavanja posebno mladih i obrazovanih ljudi. Samostalan razvoj lokalnih zajednica limitiran je visokim stupnjem fiskalne i druge centralizacije. To </w:t>
      </w:r>
      <w:r w:rsidR="002E388A" w:rsidRPr="00C0186C">
        <w:rPr>
          <w:rFonts w:ascii="Times New Roman" w:hAnsi="Times New Roman" w:cs="Times New Roman"/>
          <w:sz w:val="24"/>
          <w:szCs w:val="24"/>
        </w:rPr>
        <w:t>je</w:t>
      </w:r>
      <w:r w:rsidRPr="00C0186C">
        <w:rPr>
          <w:rFonts w:ascii="Times New Roman" w:hAnsi="Times New Roman" w:cs="Times New Roman"/>
          <w:sz w:val="24"/>
          <w:szCs w:val="24"/>
        </w:rPr>
        <w:t xml:space="preserve"> posebno velika barijera za razvoj nerazvijenih jedinica lokalne (regionalne ) samouprave koje nemaju vlastitih razvojnih kapaciteta. Dugoročni negativni gospodarski trendovi dodatno su potencirani epidemijom Covid-19. Ova kriza ujedno je i prilika za potpuno iskorištavanje potencijala i prednosti koja nude potpomognuta područja, a koja mogu snažno doprinijeti održivom društvenom i gospodarskom razvoju ovih područja.</w:t>
      </w:r>
    </w:p>
    <w:p w14:paraId="11A41ED2" w14:textId="77777777" w:rsidR="00EB4C6F" w:rsidRPr="00C0186C" w:rsidRDefault="00EB4C6F" w:rsidP="00B70EE8">
      <w:pPr>
        <w:spacing w:before="0" w:after="0"/>
        <w:jc w:val="both"/>
        <w:rPr>
          <w:rFonts w:ascii="Times New Roman" w:hAnsi="Times New Roman" w:cs="Times New Roman"/>
          <w:strike/>
          <w:sz w:val="24"/>
          <w:szCs w:val="24"/>
        </w:rPr>
      </w:pPr>
    </w:p>
    <w:p w14:paraId="603F1C67" w14:textId="65E61106" w:rsidR="00FC2838" w:rsidRPr="00C0186C" w:rsidRDefault="00FC2838" w:rsidP="00B70EE8">
      <w:pPr>
        <w:spacing w:before="0" w:after="0"/>
        <w:jc w:val="both"/>
        <w:rPr>
          <w:rFonts w:ascii="Times New Roman" w:hAnsi="Times New Roman" w:cs="Times New Roman"/>
          <w:sz w:val="24"/>
          <w:szCs w:val="24"/>
        </w:rPr>
      </w:pPr>
      <w:r w:rsidRPr="00C0186C">
        <w:rPr>
          <w:rFonts w:ascii="Times New Roman" w:hAnsi="Times New Roman" w:cs="Times New Roman"/>
          <w:sz w:val="24"/>
          <w:szCs w:val="24"/>
        </w:rPr>
        <w:t>Program održivog društvenog i gospodarskog razvoja potpomognutih podr</w:t>
      </w:r>
      <w:r w:rsidR="0037078A" w:rsidRPr="00C0186C">
        <w:rPr>
          <w:rFonts w:ascii="Times New Roman" w:hAnsi="Times New Roman" w:cs="Times New Roman"/>
          <w:sz w:val="24"/>
          <w:szCs w:val="24"/>
        </w:rPr>
        <w:t>učja 202</w:t>
      </w:r>
      <w:r w:rsidR="00A759C0">
        <w:rPr>
          <w:rFonts w:ascii="Times New Roman" w:hAnsi="Times New Roman" w:cs="Times New Roman"/>
          <w:sz w:val="24"/>
          <w:szCs w:val="24"/>
        </w:rPr>
        <w:t>2</w:t>
      </w:r>
      <w:r w:rsidRPr="00C0186C">
        <w:rPr>
          <w:rFonts w:ascii="Times New Roman" w:hAnsi="Times New Roman" w:cs="Times New Roman"/>
          <w:sz w:val="24"/>
          <w:szCs w:val="24"/>
        </w:rPr>
        <w:t>.-202</w:t>
      </w:r>
      <w:r w:rsidR="00A759C0">
        <w:rPr>
          <w:rFonts w:ascii="Times New Roman" w:hAnsi="Times New Roman" w:cs="Times New Roman"/>
          <w:sz w:val="24"/>
          <w:szCs w:val="24"/>
        </w:rPr>
        <w:t>5</w:t>
      </w:r>
      <w:r w:rsidRPr="00C0186C">
        <w:rPr>
          <w:rFonts w:ascii="Times New Roman" w:hAnsi="Times New Roman" w:cs="Times New Roman"/>
          <w:sz w:val="24"/>
          <w:szCs w:val="24"/>
        </w:rPr>
        <w:t>. predstavlja glavne smjernice, odnosno okvir djelovanja ključnih nositelja regionalnog razvoja i regionalne politike u Republici Hrvatskoj. Ovaj Program po sadržaju osnovnih elemenata jasno određuje na koja se područja trebaju njegovi nositelji i sudionici posebno fokusirati, dok istovremeno omogućuje dovoljnu</w:t>
      </w:r>
      <w:r w:rsidR="00D468C9" w:rsidRPr="00C0186C">
        <w:rPr>
          <w:rFonts w:ascii="Times New Roman" w:hAnsi="Times New Roman" w:cs="Times New Roman"/>
          <w:sz w:val="24"/>
          <w:szCs w:val="24"/>
        </w:rPr>
        <w:t xml:space="preserve"> razinu fleksibilnosti prilikom</w:t>
      </w:r>
      <w:r w:rsidRPr="00C0186C">
        <w:rPr>
          <w:rFonts w:ascii="Times New Roman" w:hAnsi="Times New Roman" w:cs="Times New Roman"/>
          <w:sz w:val="24"/>
          <w:szCs w:val="24"/>
        </w:rPr>
        <w:t xml:space="preserve"> konkretne razrade u okviru godišnjih </w:t>
      </w:r>
      <w:r w:rsidR="0061368E" w:rsidRPr="00C0186C">
        <w:rPr>
          <w:rFonts w:ascii="Times New Roman" w:hAnsi="Times New Roman" w:cs="Times New Roman"/>
          <w:sz w:val="24"/>
          <w:szCs w:val="24"/>
        </w:rPr>
        <w:t>provedbenih planova.</w:t>
      </w:r>
    </w:p>
    <w:sectPr w:rsidR="00FC2838" w:rsidRPr="00C0186C" w:rsidSect="00A10618">
      <w:headerReference w:type="default" r:id="rId22"/>
      <w:footerReference w:type="default" r:id="rId23"/>
      <w:pgSz w:w="11906" w:h="16838"/>
      <w:pgMar w:top="1135"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1C17" w14:textId="77777777" w:rsidR="00B45476" w:rsidRDefault="00B45476" w:rsidP="003D4048">
      <w:pPr>
        <w:spacing w:after="0" w:line="240" w:lineRule="auto"/>
      </w:pPr>
      <w:r>
        <w:separator/>
      </w:r>
    </w:p>
  </w:endnote>
  <w:endnote w:type="continuationSeparator" w:id="0">
    <w:p w14:paraId="6F853EBE" w14:textId="77777777" w:rsidR="00B45476" w:rsidRDefault="00B45476" w:rsidP="003D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301213"/>
      <w:docPartObj>
        <w:docPartGallery w:val="Page Numbers (Bottom of Page)"/>
        <w:docPartUnique/>
      </w:docPartObj>
    </w:sdtPr>
    <w:sdtEndPr/>
    <w:sdtContent>
      <w:p w14:paraId="3A80E48A" w14:textId="77777777" w:rsidR="00CB5806" w:rsidRDefault="00CB5806">
        <w:pPr>
          <w:pStyle w:val="Footer"/>
          <w:jc w:val="right"/>
        </w:pPr>
        <w:r>
          <w:fldChar w:fldCharType="begin"/>
        </w:r>
        <w:r>
          <w:instrText>PAGE   \* MERGEFORMAT</w:instrText>
        </w:r>
        <w:r>
          <w:fldChar w:fldCharType="separate"/>
        </w:r>
        <w:r>
          <w:rPr>
            <w:noProof/>
          </w:rPr>
          <w:t>3</w:t>
        </w:r>
        <w:r>
          <w:fldChar w:fldCharType="end"/>
        </w:r>
      </w:p>
    </w:sdtContent>
  </w:sdt>
  <w:p w14:paraId="7DCC5B5E" w14:textId="77777777" w:rsidR="00CB5806" w:rsidRPr="00E7459D" w:rsidRDefault="00CB5806" w:rsidP="003D4048">
    <w:pPr>
      <w:pStyle w:val="Header"/>
      <w:spacing w:line="276" w:lineRule="auto"/>
      <w:jc w:val="center"/>
      <w:rPr>
        <w:rFonts w:ascii="Calibri" w:hAnsi="Calibri"/>
        <w:color w:val="808080" w:themeColor="background1" w:themeShade="8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141895"/>
      <w:docPartObj>
        <w:docPartGallery w:val="Page Numbers (Bottom of Page)"/>
        <w:docPartUnique/>
      </w:docPartObj>
    </w:sdtPr>
    <w:sdtEndPr/>
    <w:sdtContent>
      <w:p w14:paraId="51E4AE42" w14:textId="77777777" w:rsidR="00CB5806" w:rsidRDefault="00CB5806">
        <w:pPr>
          <w:pStyle w:val="Footer"/>
          <w:jc w:val="right"/>
        </w:pPr>
        <w:r w:rsidRPr="005A292C">
          <w:rPr>
            <w:rFonts w:ascii="Times New Roman" w:hAnsi="Times New Roman" w:cs="Times New Roman"/>
          </w:rPr>
          <w:fldChar w:fldCharType="begin"/>
        </w:r>
        <w:r w:rsidRPr="005A292C">
          <w:rPr>
            <w:rFonts w:ascii="Times New Roman" w:hAnsi="Times New Roman" w:cs="Times New Roman"/>
          </w:rPr>
          <w:instrText>PAGE   \* MERGEFORMAT</w:instrText>
        </w:r>
        <w:r w:rsidRPr="005A292C">
          <w:rPr>
            <w:rFonts w:ascii="Times New Roman" w:hAnsi="Times New Roman" w:cs="Times New Roman"/>
          </w:rPr>
          <w:fldChar w:fldCharType="separate"/>
        </w:r>
        <w:r w:rsidR="002C6DD9" w:rsidRPr="005A292C">
          <w:rPr>
            <w:rFonts w:ascii="Times New Roman" w:hAnsi="Times New Roman" w:cs="Times New Roman"/>
            <w:noProof/>
          </w:rPr>
          <w:t>21</w:t>
        </w:r>
        <w:r w:rsidRPr="005A292C">
          <w:rPr>
            <w:rFonts w:ascii="Times New Roman" w:hAnsi="Times New Roman" w:cs="Times New Roman"/>
          </w:rPr>
          <w:fldChar w:fldCharType="end"/>
        </w:r>
      </w:p>
    </w:sdtContent>
  </w:sdt>
  <w:p w14:paraId="4CFE05F3" w14:textId="77777777" w:rsidR="00CB5806" w:rsidRPr="00E7459D" w:rsidRDefault="00CB5806" w:rsidP="003D4048">
    <w:pPr>
      <w:pStyle w:val="Header"/>
      <w:spacing w:line="276" w:lineRule="auto"/>
      <w:jc w:val="center"/>
      <w:rPr>
        <w:rFonts w:ascii="Calibri" w:hAnsi="Calibri"/>
        <w:color w:val="808080" w:themeColor="background1" w:themeShade="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BEF3" w14:textId="77777777" w:rsidR="00B45476" w:rsidRDefault="00B45476" w:rsidP="003D4048">
      <w:pPr>
        <w:spacing w:after="0" w:line="240" w:lineRule="auto"/>
      </w:pPr>
      <w:r>
        <w:separator/>
      </w:r>
    </w:p>
  </w:footnote>
  <w:footnote w:type="continuationSeparator" w:id="0">
    <w:p w14:paraId="0D7DB537" w14:textId="77777777" w:rsidR="00B45476" w:rsidRDefault="00B45476" w:rsidP="003D4048">
      <w:pPr>
        <w:spacing w:after="0" w:line="240" w:lineRule="auto"/>
      </w:pPr>
      <w:r>
        <w:continuationSeparator/>
      </w:r>
    </w:p>
  </w:footnote>
  <w:footnote w:id="1">
    <w:p w14:paraId="47470B0F" w14:textId="77777777" w:rsidR="00CB5806" w:rsidRPr="00C0186C" w:rsidRDefault="00CB5806" w:rsidP="00F90F3B">
      <w:pPr>
        <w:pStyle w:val="FootnoteText"/>
        <w:jc w:val="both"/>
        <w:rPr>
          <w:sz w:val="18"/>
          <w:szCs w:val="18"/>
        </w:rPr>
      </w:pPr>
      <w:r w:rsidRPr="00C0186C">
        <w:rPr>
          <w:rStyle w:val="FootnoteReference"/>
          <w:sz w:val="18"/>
          <w:szCs w:val="18"/>
        </w:rPr>
        <w:footnoteRef/>
      </w:r>
      <w:r w:rsidRPr="00C0186C">
        <w:rPr>
          <w:sz w:val="18"/>
          <w:szCs w:val="18"/>
        </w:rPr>
        <w:t xml:space="preserve"> Na temelju članka 37. stavka 1. Zakona o regionalnom razvoju Republike Hrvatske („Narodne novine“, br. 147/14 i 123/17), Vlada Republike Hrvatske je na sjednici održanoj 28. prosinca 2017. godine donijela  Odluku o razvrstavanju jedinica lokalne i područne (regionalne) samouprave, a koja je na snazi od 01. siječnja 2018. godine. Ta se odluka temelji na novoj metodologiji izračuna vrijednosti indeksa razvijenosti, propisanoj Uredbom o indeksu razvijenosti, također na sjednici Vlade RH od 28. prosinca 2017. godine. Uredbom su propisani pokazatelji indeksa razvijenosti, metodologija standardizacije pokazatelja, kao i sustav razvrstavanja JL(P)RS u razvojne skupine. </w:t>
      </w:r>
    </w:p>
  </w:footnote>
  <w:footnote w:id="2">
    <w:p w14:paraId="0B800E54" w14:textId="77777777" w:rsidR="00CB5806" w:rsidRPr="00E55A4E" w:rsidRDefault="00CB5806" w:rsidP="00D60DE5">
      <w:pPr>
        <w:pStyle w:val="FootnoteText"/>
        <w:jc w:val="both"/>
        <w:rPr>
          <w:sz w:val="18"/>
          <w:szCs w:val="18"/>
        </w:rPr>
      </w:pPr>
      <w:r w:rsidRPr="00E55A4E">
        <w:rPr>
          <w:rStyle w:val="FootnoteReference"/>
          <w:sz w:val="18"/>
          <w:szCs w:val="18"/>
        </w:rPr>
        <w:footnoteRef/>
      </w:r>
      <w:r w:rsidRPr="00E55A4E">
        <w:rPr>
          <w:sz w:val="18"/>
          <w:szCs w:val="18"/>
        </w:rPr>
        <w:t xml:space="preserve"> Temeljem Zakona o sustavu strateškog planiranja i upravljanja razvojem Republike Hrvatske (NN 123/17, članak 20.).</w:t>
      </w:r>
    </w:p>
  </w:footnote>
  <w:footnote w:id="3">
    <w:p w14:paraId="4AB251C1" w14:textId="77777777" w:rsidR="00CB5806" w:rsidRPr="00E55A4E" w:rsidRDefault="00CB5806" w:rsidP="00AF453C">
      <w:pPr>
        <w:pStyle w:val="FootnoteText"/>
        <w:jc w:val="both"/>
        <w:rPr>
          <w:sz w:val="18"/>
          <w:szCs w:val="18"/>
        </w:rPr>
      </w:pPr>
      <w:r w:rsidRPr="00E55A4E">
        <w:rPr>
          <w:rStyle w:val="FootnoteReference"/>
          <w:sz w:val="18"/>
          <w:szCs w:val="18"/>
        </w:rPr>
        <w:footnoteRef/>
      </w:r>
      <w:r w:rsidRPr="00E55A4E">
        <w:rPr>
          <w:sz w:val="18"/>
          <w:szCs w:val="18"/>
        </w:rPr>
        <w:t xml:space="preserve"> Temeljem Zakona o sustavu strateškog planiranja i upravljanja razvojem Republike Hrvatske (NN 123/17, članak 21.).</w:t>
      </w:r>
    </w:p>
  </w:footnote>
  <w:footnote w:id="4">
    <w:p w14:paraId="35F73D85" w14:textId="77777777" w:rsidR="00CB5806" w:rsidRPr="00E55A4E" w:rsidRDefault="00CB5806">
      <w:pPr>
        <w:pStyle w:val="FootnoteText"/>
        <w:rPr>
          <w:sz w:val="18"/>
          <w:szCs w:val="18"/>
        </w:rPr>
      </w:pPr>
      <w:r w:rsidRPr="00E55A4E">
        <w:rPr>
          <w:rStyle w:val="FootnoteReference"/>
          <w:sz w:val="18"/>
          <w:szCs w:val="18"/>
        </w:rPr>
        <w:footnoteRef/>
      </w:r>
      <w:r w:rsidRPr="00E55A4E">
        <w:rPr>
          <w:sz w:val="18"/>
          <w:szCs w:val="18"/>
        </w:rPr>
        <w:t xml:space="preserve"> Provedbeni program MRRFEU za razdoblje 2021.-2024.</w:t>
      </w:r>
    </w:p>
  </w:footnote>
  <w:footnote w:id="5">
    <w:p w14:paraId="68FFDA13" w14:textId="77777777" w:rsidR="00CB5806" w:rsidRPr="00E55A4E" w:rsidRDefault="00CB5806" w:rsidP="00116ECB">
      <w:pPr>
        <w:pStyle w:val="FootnoteText"/>
        <w:rPr>
          <w:sz w:val="18"/>
          <w:szCs w:val="18"/>
        </w:rPr>
      </w:pPr>
      <w:r w:rsidRPr="00E55A4E">
        <w:rPr>
          <w:rStyle w:val="FootnoteReference"/>
          <w:sz w:val="18"/>
          <w:szCs w:val="18"/>
        </w:rPr>
        <w:footnoteRef/>
      </w:r>
      <w:r w:rsidRPr="00E55A4E">
        <w:rPr>
          <w:sz w:val="18"/>
          <w:szCs w:val="18"/>
        </w:rPr>
        <w:t xml:space="preserve"> </w:t>
      </w:r>
      <w:hyperlink r:id="rId1" w:anchor="Youth_unemployment" w:history="1">
        <w:r w:rsidRPr="00E55A4E">
          <w:rPr>
            <w:rStyle w:val="Hyperlink"/>
            <w:sz w:val="18"/>
            <w:szCs w:val="18"/>
          </w:rPr>
          <w:t>https://ec.europa.eu/eurostat/statistics-explained/index.php/Unemployment_statistics#Youth_unemployment</w:t>
        </w:r>
      </w:hyperlink>
    </w:p>
  </w:footnote>
  <w:footnote w:id="6">
    <w:p w14:paraId="3A5E0509" w14:textId="77777777" w:rsidR="00CB5806" w:rsidRPr="00F461B5" w:rsidRDefault="00CB5806" w:rsidP="00F461B5">
      <w:pPr>
        <w:pStyle w:val="FootnoteText"/>
        <w:jc w:val="both"/>
        <w:rPr>
          <w:rFonts w:ascii="Arial" w:hAnsi="Arial" w:cs="Arial"/>
          <w:sz w:val="18"/>
          <w:szCs w:val="18"/>
        </w:rPr>
      </w:pPr>
      <w:r w:rsidRPr="00E55A4E">
        <w:rPr>
          <w:rStyle w:val="FootnoteReference"/>
          <w:sz w:val="18"/>
          <w:szCs w:val="18"/>
        </w:rPr>
        <w:footnoteRef/>
      </w:r>
      <w:r w:rsidRPr="00E55A4E">
        <w:rPr>
          <w:sz w:val="18"/>
          <w:szCs w:val="18"/>
        </w:rPr>
        <w:t xml:space="preserve"> Analizirani su sljedeći pokazatelji: udio dobitaša u ukupnom broju poduzetnika, prihod poduzetnika po zaposlenom, broj zaposlenih po poduzetniku, broj poduzeća na 1000 stanovnika, prihod poduzetnika po stanovniku, primitak po obrtniku, broj obrtnika na 1000 stanovnika, primici obrtnika po stanovniku.</w:t>
      </w:r>
    </w:p>
  </w:footnote>
  <w:footnote w:id="7">
    <w:p w14:paraId="43F406F5" w14:textId="77777777" w:rsidR="00CB5806" w:rsidRPr="00C0186C" w:rsidRDefault="00CB5806" w:rsidP="00F461B5">
      <w:pPr>
        <w:pStyle w:val="FootnoteText"/>
        <w:jc w:val="both"/>
        <w:rPr>
          <w:sz w:val="18"/>
          <w:szCs w:val="18"/>
        </w:rPr>
      </w:pPr>
      <w:r w:rsidRPr="00C0186C">
        <w:rPr>
          <w:rStyle w:val="FootnoteReference"/>
          <w:sz w:val="18"/>
          <w:szCs w:val="18"/>
        </w:rPr>
        <w:footnoteRef/>
      </w:r>
      <w:r w:rsidRPr="00C0186C">
        <w:rPr>
          <w:sz w:val="18"/>
          <w:szCs w:val="18"/>
        </w:rPr>
        <w:t xml:space="preserve"> Analizirani su sljedeći pokazatelji: udio dugotrajno nezaposlenih u ukupnoj nezaposlenosti, udio mladih u ukupnoj nezaposlenosti, stopa nezaposlenosti, stopa iskorištenosti radnog kontingenta, stopa zaposlenosti.</w:t>
      </w:r>
    </w:p>
  </w:footnote>
  <w:footnote w:id="8">
    <w:p w14:paraId="03BBB2EF" w14:textId="77777777" w:rsidR="00CB5806" w:rsidRPr="00C0186C" w:rsidRDefault="00CB5806" w:rsidP="00BF73D4">
      <w:pPr>
        <w:pStyle w:val="FootnoteText"/>
        <w:jc w:val="both"/>
        <w:rPr>
          <w:sz w:val="18"/>
          <w:szCs w:val="18"/>
        </w:rPr>
      </w:pPr>
      <w:r w:rsidRPr="00C0186C">
        <w:rPr>
          <w:rStyle w:val="FootnoteReference"/>
          <w:sz w:val="18"/>
          <w:szCs w:val="18"/>
        </w:rPr>
        <w:footnoteRef/>
      </w:r>
      <w:r w:rsidRPr="00C0186C">
        <w:rPr>
          <w:sz w:val="18"/>
          <w:szCs w:val="18"/>
        </w:rPr>
        <w:t xml:space="preserve"> Analizirani su sljedeći pokazatelji: izvorni proračunski prihodi po stanovniku, prosječna neto mjesečna plaća zaposlenika, prosječna neto mjesečna mirovina, ukupan dohodak po stanovniku, ukupan dohodak od rada po stanovniku, udio umirovljenika u ukupnom dohotku, udio zaposlenika u ukupnom dohotku, udio umirovljenika u stanovništvu koje ostvaruje dohodak te udio zaposlenika u stanovništvu koje ostvaruje dohodak.</w:t>
      </w:r>
    </w:p>
  </w:footnote>
  <w:footnote w:id="9">
    <w:p w14:paraId="52CC2AB4" w14:textId="77777777" w:rsidR="00CB5806" w:rsidRPr="00C0186C" w:rsidRDefault="00CB5806" w:rsidP="007B2688">
      <w:pPr>
        <w:pStyle w:val="FootnoteText"/>
        <w:rPr>
          <w:sz w:val="18"/>
          <w:szCs w:val="18"/>
        </w:rPr>
      </w:pPr>
      <w:r w:rsidRPr="00C0186C">
        <w:rPr>
          <w:rStyle w:val="FootnoteReference"/>
          <w:sz w:val="18"/>
          <w:szCs w:val="18"/>
        </w:rPr>
        <w:footnoteRef/>
      </w:r>
      <w:r w:rsidRPr="00C0186C">
        <w:rPr>
          <w:sz w:val="18"/>
          <w:szCs w:val="18"/>
        </w:rPr>
        <w:t xml:space="preserve"> Zakon o potpomognutim  područjima, NN 118/18, čl. 14</w:t>
      </w:r>
    </w:p>
  </w:footnote>
  <w:footnote w:id="10">
    <w:p w14:paraId="7D8F17D9" w14:textId="77777777" w:rsidR="00CB5806" w:rsidRPr="00C0186C" w:rsidRDefault="00CB5806" w:rsidP="00656CF5">
      <w:pPr>
        <w:pStyle w:val="FootnoteText"/>
        <w:rPr>
          <w:sz w:val="18"/>
          <w:szCs w:val="18"/>
        </w:rPr>
      </w:pPr>
      <w:r w:rsidRPr="00C0186C">
        <w:rPr>
          <w:rStyle w:val="FootnoteReference"/>
          <w:sz w:val="18"/>
          <w:szCs w:val="18"/>
        </w:rPr>
        <w:footnoteRef/>
      </w:r>
      <w:r w:rsidRPr="00C0186C">
        <w:rPr>
          <w:sz w:val="18"/>
          <w:szCs w:val="18"/>
        </w:rPr>
        <w:t xml:space="preserve"> Misli se na odgovarajuću skupinu mjera definiranu Zakonom o potpomognutim područjima ( NN 118/18, čl. 14)</w:t>
      </w:r>
    </w:p>
    <w:p w14:paraId="7592E593" w14:textId="77777777" w:rsidR="00CB5806" w:rsidRPr="00C0186C" w:rsidRDefault="00CB5806">
      <w:pPr>
        <w:pStyle w:val="FootnoteText"/>
        <w:rPr>
          <w:sz w:val="18"/>
          <w:szCs w:val="18"/>
        </w:rPr>
      </w:pPr>
    </w:p>
  </w:footnote>
  <w:footnote w:id="11">
    <w:p w14:paraId="7B94CA40" w14:textId="77777777" w:rsidR="008C5744" w:rsidRPr="00E55A4E" w:rsidRDefault="008C5744" w:rsidP="008C5744">
      <w:pPr>
        <w:pStyle w:val="FootnoteText"/>
        <w:rPr>
          <w:sz w:val="18"/>
          <w:szCs w:val="18"/>
        </w:rPr>
      </w:pPr>
      <w:r w:rsidRPr="00E55A4E">
        <w:rPr>
          <w:rStyle w:val="FootnoteReference"/>
          <w:sz w:val="18"/>
          <w:szCs w:val="18"/>
        </w:rPr>
        <w:footnoteRef/>
      </w:r>
      <w:r w:rsidRPr="00E55A4E">
        <w:rPr>
          <w:sz w:val="18"/>
          <w:szCs w:val="18"/>
        </w:rPr>
        <w:t xml:space="preserve"> https://eur-lex.europa.eu/legal-content/EN/TXT/?uri=CELEX:52021XC0429(01)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3670" w14:textId="77777777" w:rsidR="00CB5806" w:rsidRDefault="00CB5806" w:rsidP="003D4048">
    <w:pPr>
      <w:pStyle w:val="Header"/>
      <w:tabs>
        <w:tab w:val="right" w:pos="9073"/>
      </w:tabs>
    </w:pPr>
    <w:r>
      <w:rPr>
        <w:noProof/>
        <w:lang w:eastAsia="hr-HR"/>
      </w:rPr>
      <w:drawing>
        <wp:anchor distT="0" distB="0" distL="114300" distR="114300" simplePos="0" relativeHeight="251665408" behindDoc="0" locked="0" layoutInCell="1" allowOverlap="1" wp14:anchorId="1D0517C1" wp14:editId="676D0AA0">
          <wp:simplePos x="0" y="0"/>
          <wp:positionH relativeFrom="margin">
            <wp:posOffset>2193903</wp:posOffset>
          </wp:positionH>
          <wp:positionV relativeFrom="paragraph">
            <wp:posOffset>-178823</wp:posOffset>
          </wp:positionV>
          <wp:extent cx="1367944" cy="361258"/>
          <wp:effectExtent l="0" t="0" r="3810" b="1270"/>
          <wp:wrapNone/>
          <wp:docPr id="1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er-logo.png"/>
                  <pic:cNvPicPr/>
                </pic:nvPicPr>
                <pic:blipFill>
                  <a:blip r:embed="rId1">
                    <a:extLst>
                      <a:ext uri="{28A0092B-C50C-407E-A947-70E740481C1C}">
                        <a14:useLocalDpi xmlns:a14="http://schemas.microsoft.com/office/drawing/2010/main" val="0"/>
                      </a:ext>
                    </a:extLst>
                  </a:blip>
                  <a:stretch>
                    <a:fillRect/>
                  </a:stretch>
                </pic:blipFill>
                <pic:spPr>
                  <a:xfrm>
                    <a:off x="0" y="0"/>
                    <a:ext cx="1406952" cy="371559"/>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64384" behindDoc="1" locked="0" layoutInCell="1" allowOverlap="1" wp14:anchorId="5D3D7FDA" wp14:editId="1B5EC555">
          <wp:simplePos x="0" y="0"/>
          <wp:positionH relativeFrom="margin">
            <wp:posOffset>5399405</wp:posOffset>
          </wp:positionH>
          <wp:positionV relativeFrom="paragraph">
            <wp:posOffset>-161290</wp:posOffset>
          </wp:positionV>
          <wp:extent cx="360680" cy="362585"/>
          <wp:effectExtent l="0" t="0" r="1270" b="0"/>
          <wp:wrapTight wrapText="bothSides">
            <wp:wrapPolygon edited="0">
              <wp:start x="0" y="0"/>
              <wp:lineTo x="0" y="20427"/>
              <wp:lineTo x="20535" y="20427"/>
              <wp:lineTo x="20535" y="0"/>
              <wp:lineTo x="0" y="0"/>
            </wp:wrapPolygon>
          </wp:wrapTight>
          <wp:docPr id="20" name="Picture 3" descr="rije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jeka.jpg"/>
                  <pic:cNvPicPr/>
                </pic:nvPicPr>
                <pic:blipFill>
                  <a:blip r:embed="rId2"/>
                  <a:stretch>
                    <a:fillRect/>
                  </a:stretch>
                </pic:blipFill>
                <pic:spPr>
                  <a:xfrm>
                    <a:off x="0" y="0"/>
                    <a:ext cx="360680" cy="362585"/>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63360" behindDoc="1" locked="0" layoutInCell="1" allowOverlap="1" wp14:anchorId="1DC52061" wp14:editId="2E77DC31">
          <wp:simplePos x="0" y="0"/>
          <wp:positionH relativeFrom="margin">
            <wp:align>left</wp:align>
          </wp:positionH>
          <wp:positionV relativeFrom="paragraph">
            <wp:posOffset>-124709</wp:posOffset>
          </wp:positionV>
          <wp:extent cx="1352550" cy="320040"/>
          <wp:effectExtent l="0" t="0" r="0" b="3810"/>
          <wp:wrapTight wrapText="bothSides">
            <wp:wrapPolygon edited="0">
              <wp:start x="0" y="0"/>
              <wp:lineTo x="0" y="20571"/>
              <wp:lineTo x="21296" y="20571"/>
              <wp:lineTo x="21296" y="0"/>
              <wp:lineTo x="0" y="0"/>
            </wp:wrapPolygon>
          </wp:wrapTight>
          <wp:docPr id="2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ri.png.jpg"/>
                  <pic:cNvPicPr/>
                </pic:nvPicPr>
                <pic:blipFill rotWithShape="1">
                  <a:blip r:embed="rId3">
                    <a:extLst>
                      <a:ext uri="{28A0092B-C50C-407E-A947-70E740481C1C}">
                        <a14:useLocalDpi xmlns:a14="http://schemas.microsoft.com/office/drawing/2010/main" val="0"/>
                      </a:ext>
                    </a:extLst>
                  </a:blip>
                  <a:srcRect t="40323"/>
                  <a:stretch/>
                </pic:blipFill>
                <pic:spPr bwMode="auto">
                  <a:xfrm>
                    <a:off x="0" y="0"/>
                    <a:ext cx="1352550" cy="320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B46240" w14:textId="77777777" w:rsidR="00CB5806" w:rsidRDefault="00CB5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4968" w14:textId="77777777" w:rsidR="00CB5806" w:rsidRPr="008C32F6" w:rsidRDefault="00CB5806" w:rsidP="001337F7">
    <w:pPr>
      <w:pStyle w:val="Header"/>
      <w:tabs>
        <w:tab w:val="right" w:pos="9073"/>
      </w:tabs>
      <w:rPr>
        <w:b/>
        <w:bCs/>
        <w:i/>
        <w:iCs/>
      </w:rPr>
    </w:pPr>
    <w:r>
      <w:rPr>
        <w:noProof/>
        <w:lang w:eastAsia="hr-HR"/>
      </w:rPr>
      <w:t xml:space="preserve">                                                                                                                                                                 -</w:t>
    </w:r>
    <w:r w:rsidR="00311378" w:rsidRPr="008C32F6">
      <w:rPr>
        <w:rFonts w:ascii="Times New Roman" w:hAnsi="Times New Roman" w:cs="Times New Roman"/>
        <w:b/>
        <w:bCs/>
        <w:i/>
        <w:iCs/>
        <w:noProof/>
        <w:sz w:val="28"/>
        <w:szCs w:val="28"/>
        <w:lang w:eastAsia="hr-HR"/>
      </w:rPr>
      <w:t>P</w:t>
    </w:r>
    <w:r w:rsidRPr="008C32F6">
      <w:rPr>
        <w:rFonts w:ascii="Times New Roman" w:hAnsi="Times New Roman" w:cs="Times New Roman"/>
        <w:b/>
        <w:bCs/>
        <w:i/>
        <w:iCs/>
        <w:noProof/>
        <w:sz w:val="28"/>
        <w:szCs w:val="28"/>
        <w:lang w:eastAsia="hr-HR"/>
      </w:rPr>
      <w:t>rijedlog</w:t>
    </w:r>
    <w:r w:rsidRPr="008C32F6">
      <w:rPr>
        <w:rFonts w:ascii="Times New Roman" w:hAnsi="Times New Roman" w:cs="Times New Roman"/>
        <w:b/>
        <w:bCs/>
        <w:i/>
        <w:iCs/>
        <w:noProof/>
        <w:lang w:eastAsia="hr-HR"/>
      </w:rPr>
      <w:t>-</w:t>
    </w:r>
  </w:p>
  <w:p w14:paraId="52E3CD95" w14:textId="77777777" w:rsidR="00CB5806" w:rsidRPr="003E7D56" w:rsidRDefault="00CB5806" w:rsidP="00133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7FAD" w14:textId="77777777" w:rsidR="00CB5806" w:rsidRDefault="005F0B5F">
    <w:pPr>
      <w:pStyle w:val="Header"/>
    </w:pPr>
    <w:r>
      <w:ptab w:relativeTo="margin" w:alignment="center" w:leader="none"/>
    </w:r>
    <w:r>
      <w:ptab w:relativeTo="margin" w:alignment="right" w:leader="none"/>
    </w:r>
    <w:r w:rsidRPr="005A292C">
      <w:rPr>
        <w:rFonts w:ascii="Times New Roman" w:hAnsi="Times New Roman" w:cs="Times New Roman"/>
      </w:rPr>
      <w:t>-</w:t>
    </w:r>
    <w:r w:rsidRPr="008C32F6">
      <w:rPr>
        <w:rFonts w:ascii="Times New Roman" w:hAnsi="Times New Roman" w:cs="Times New Roman"/>
        <w:b/>
        <w:bCs/>
        <w:i/>
        <w:iCs/>
        <w:sz w:val="28"/>
        <w:szCs w:val="28"/>
      </w:rPr>
      <w:t>Prijedlog</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B36"/>
    <w:multiLevelType w:val="multilevel"/>
    <w:tmpl w:val="F8A8D83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625EC0"/>
    <w:multiLevelType w:val="hybridMultilevel"/>
    <w:tmpl w:val="5492CEC8"/>
    <w:lvl w:ilvl="0" w:tplc="199E15EE">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B10093"/>
    <w:multiLevelType w:val="hybridMultilevel"/>
    <w:tmpl w:val="4CE8D5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0C6D5B"/>
    <w:multiLevelType w:val="multilevel"/>
    <w:tmpl w:val="E6363608"/>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C7F2676"/>
    <w:multiLevelType w:val="hybridMultilevel"/>
    <w:tmpl w:val="773213C2"/>
    <w:lvl w:ilvl="0" w:tplc="199E15EE">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1F6555"/>
    <w:multiLevelType w:val="hybridMultilevel"/>
    <w:tmpl w:val="6CB2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04679D"/>
    <w:multiLevelType w:val="hybridMultilevel"/>
    <w:tmpl w:val="87647C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005E3F"/>
    <w:multiLevelType w:val="hybridMultilevel"/>
    <w:tmpl w:val="BA828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965646"/>
    <w:multiLevelType w:val="hybridMultilevel"/>
    <w:tmpl w:val="9252BEEE"/>
    <w:lvl w:ilvl="0" w:tplc="215E75E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1D9"/>
    <w:multiLevelType w:val="hybridMultilevel"/>
    <w:tmpl w:val="AC722D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9107A2"/>
    <w:multiLevelType w:val="multilevel"/>
    <w:tmpl w:val="4D762AFA"/>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6430DD1"/>
    <w:multiLevelType w:val="hybridMultilevel"/>
    <w:tmpl w:val="7088B554"/>
    <w:lvl w:ilvl="0" w:tplc="199E15EE">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CD28CC"/>
    <w:multiLevelType w:val="hybridMultilevel"/>
    <w:tmpl w:val="BC687B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0B420B"/>
    <w:multiLevelType w:val="hybridMultilevel"/>
    <w:tmpl w:val="C23059CC"/>
    <w:lvl w:ilvl="0" w:tplc="199E15EE">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B540AB"/>
    <w:multiLevelType w:val="hybridMultilevel"/>
    <w:tmpl w:val="2AA2D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9B1829"/>
    <w:multiLevelType w:val="multilevel"/>
    <w:tmpl w:val="9D16EA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9A0890"/>
    <w:multiLevelType w:val="hybridMultilevel"/>
    <w:tmpl w:val="3800AA74"/>
    <w:lvl w:ilvl="0" w:tplc="199E15EE">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28557C"/>
    <w:multiLevelType w:val="multilevel"/>
    <w:tmpl w:val="21F638A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10E09CF"/>
    <w:multiLevelType w:val="hybridMultilevel"/>
    <w:tmpl w:val="155CF2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6966ED"/>
    <w:multiLevelType w:val="hybridMultilevel"/>
    <w:tmpl w:val="064CFC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4F81D8D"/>
    <w:multiLevelType w:val="multilevel"/>
    <w:tmpl w:val="7F78A47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07F7052"/>
    <w:multiLevelType w:val="multilevel"/>
    <w:tmpl w:val="7134551E"/>
    <w:lvl w:ilvl="0">
      <w:start w:val="5"/>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18809E0"/>
    <w:multiLevelType w:val="multilevel"/>
    <w:tmpl w:val="23D88D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39A1201"/>
    <w:multiLevelType w:val="hybridMultilevel"/>
    <w:tmpl w:val="A6AED216"/>
    <w:lvl w:ilvl="0" w:tplc="199E15EE">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5DC311E"/>
    <w:multiLevelType w:val="hybridMultilevel"/>
    <w:tmpl w:val="33689BBC"/>
    <w:lvl w:ilvl="0" w:tplc="199E15EE">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D832E2F"/>
    <w:multiLevelType w:val="multilevel"/>
    <w:tmpl w:val="7E02A49A"/>
    <w:lvl w:ilvl="0">
      <w:start w:val="1"/>
      <w:numFmt w:val="decimal"/>
      <w:lvlText w:val="%1."/>
      <w:lvlJc w:val="left"/>
      <w:pPr>
        <w:ind w:left="720" w:hanging="360"/>
      </w:pPr>
      <w:rPr>
        <w:rFonts w:hint="default"/>
        <w:b/>
        <w:bCs/>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196ACC"/>
    <w:multiLevelType w:val="hybridMultilevel"/>
    <w:tmpl w:val="D62C0F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09505D2"/>
    <w:multiLevelType w:val="multilevel"/>
    <w:tmpl w:val="D0E8FB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17644B7"/>
    <w:multiLevelType w:val="hybridMultilevel"/>
    <w:tmpl w:val="AB209C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1C478D0"/>
    <w:multiLevelType w:val="hybridMultilevel"/>
    <w:tmpl w:val="1666B4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25E0493"/>
    <w:multiLevelType w:val="hybridMultilevel"/>
    <w:tmpl w:val="405EB3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291336C"/>
    <w:multiLevelType w:val="hybridMultilevel"/>
    <w:tmpl w:val="DD022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5FC4705"/>
    <w:multiLevelType w:val="hybridMultilevel"/>
    <w:tmpl w:val="AC56D9DC"/>
    <w:lvl w:ilvl="0" w:tplc="215E75E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47878"/>
    <w:multiLevelType w:val="hybridMultilevel"/>
    <w:tmpl w:val="EB18A9EC"/>
    <w:lvl w:ilvl="0" w:tplc="199E15EE">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CE37DD5"/>
    <w:multiLevelType w:val="hybridMultilevel"/>
    <w:tmpl w:val="6AA0F364"/>
    <w:lvl w:ilvl="0" w:tplc="FFFC0AA8">
      <w:start w:val="1"/>
      <w:numFmt w:val="decimal"/>
      <w:lvlText w:val="%1."/>
      <w:lvlJc w:val="left"/>
      <w:pPr>
        <w:ind w:left="720" w:hanging="360"/>
      </w:pPr>
      <w:rPr>
        <w:rFonts w:ascii="Times New Roman" w:hAnsi="Times New Roman" w:cs="Times New Roman" w:hint="default"/>
        <w:b/>
        <w:color w:val="00000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3E67B4"/>
    <w:multiLevelType w:val="hybridMultilevel"/>
    <w:tmpl w:val="4BAA1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C3560F"/>
    <w:multiLevelType w:val="hybridMultilevel"/>
    <w:tmpl w:val="27CC14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A95DEA"/>
    <w:multiLevelType w:val="hybridMultilevel"/>
    <w:tmpl w:val="6896A49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8" w15:restartNumberingAfterBreak="0">
    <w:nsid w:val="79D41579"/>
    <w:multiLevelType w:val="hybridMultilevel"/>
    <w:tmpl w:val="921017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A2C4D42"/>
    <w:multiLevelType w:val="multilevel"/>
    <w:tmpl w:val="4E683E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1B5070"/>
    <w:multiLevelType w:val="hybridMultilevel"/>
    <w:tmpl w:val="96002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D992817"/>
    <w:multiLevelType w:val="hybridMultilevel"/>
    <w:tmpl w:val="801409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EE84E11"/>
    <w:multiLevelType w:val="multilevel"/>
    <w:tmpl w:val="DD1AEC3A"/>
    <w:lvl w:ilvl="0">
      <w:start w:val="1"/>
      <w:numFmt w:val="decimal"/>
      <w:lvlText w:val="%1."/>
      <w:lvlJc w:val="left"/>
      <w:pPr>
        <w:ind w:left="36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3" w15:restartNumberingAfterBreak="0">
    <w:nsid w:val="7FAD535E"/>
    <w:multiLevelType w:val="hybridMultilevel"/>
    <w:tmpl w:val="9A9E3E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8"/>
  </w:num>
  <w:num w:numId="2">
    <w:abstractNumId w:val="29"/>
  </w:num>
  <w:num w:numId="3">
    <w:abstractNumId w:val="43"/>
  </w:num>
  <w:num w:numId="4">
    <w:abstractNumId w:val="35"/>
  </w:num>
  <w:num w:numId="5">
    <w:abstractNumId w:val="2"/>
  </w:num>
  <w:num w:numId="6">
    <w:abstractNumId w:val="17"/>
  </w:num>
  <w:num w:numId="7">
    <w:abstractNumId w:val="42"/>
  </w:num>
  <w:num w:numId="8">
    <w:abstractNumId w:val="3"/>
  </w:num>
  <w:num w:numId="9">
    <w:abstractNumId w:val="25"/>
  </w:num>
  <w:num w:numId="10">
    <w:abstractNumId w:val="15"/>
  </w:num>
  <w:num w:numId="11">
    <w:abstractNumId w:val="19"/>
  </w:num>
  <w:num w:numId="12">
    <w:abstractNumId w:val="40"/>
  </w:num>
  <w:num w:numId="13">
    <w:abstractNumId w:val="13"/>
  </w:num>
  <w:num w:numId="14">
    <w:abstractNumId w:val="23"/>
  </w:num>
  <w:num w:numId="15">
    <w:abstractNumId w:val="31"/>
  </w:num>
  <w:num w:numId="16">
    <w:abstractNumId w:val="1"/>
  </w:num>
  <w:num w:numId="17">
    <w:abstractNumId w:val="11"/>
  </w:num>
  <w:num w:numId="18">
    <w:abstractNumId w:val="4"/>
  </w:num>
  <w:num w:numId="19">
    <w:abstractNumId w:val="30"/>
  </w:num>
  <w:num w:numId="20">
    <w:abstractNumId w:val="33"/>
  </w:num>
  <w:num w:numId="21">
    <w:abstractNumId w:val="16"/>
  </w:num>
  <w:num w:numId="22">
    <w:abstractNumId w:val="14"/>
  </w:num>
  <w:num w:numId="23">
    <w:abstractNumId w:val="24"/>
  </w:num>
  <w:num w:numId="24">
    <w:abstractNumId w:val="37"/>
  </w:num>
  <w:num w:numId="25">
    <w:abstractNumId w:val="32"/>
  </w:num>
  <w:num w:numId="26">
    <w:abstractNumId w:val="22"/>
  </w:num>
  <w:num w:numId="27">
    <w:abstractNumId w:val="20"/>
  </w:num>
  <w:num w:numId="28">
    <w:abstractNumId w:val="38"/>
  </w:num>
  <w:num w:numId="29">
    <w:abstractNumId w:val="28"/>
  </w:num>
  <w:num w:numId="30">
    <w:abstractNumId w:val="34"/>
  </w:num>
  <w:num w:numId="31">
    <w:abstractNumId w:val="36"/>
  </w:num>
  <w:num w:numId="32">
    <w:abstractNumId w:val="9"/>
  </w:num>
  <w:num w:numId="33">
    <w:abstractNumId w:val="39"/>
  </w:num>
  <w:num w:numId="34">
    <w:abstractNumId w:val="10"/>
  </w:num>
  <w:num w:numId="35">
    <w:abstractNumId w:val="5"/>
  </w:num>
  <w:num w:numId="36">
    <w:abstractNumId w:val="7"/>
  </w:num>
  <w:num w:numId="37">
    <w:abstractNumId w:val="26"/>
  </w:num>
  <w:num w:numId="38">
    <w:abstractNumId w:val="41"/>
  </w:num>
  <w:num w:numId="39">
    <w:abstractNumId w:val="18"/>
  </w:num>
  <w:num w:numId="40">
    <w:abstractNumId w:val="0"/>
  </w:num>
  <w:num w:numId="41">
    <w:abstractNumId w:val="6"/>
  </w:num>
  <w:num w:numId="42">
    <w:abstractNumId w:val="27"/>
  </w:num>
  <w:num w:numId="43">
    <w:abstractNumId w:val="21"/>
  </w:num>
  <w:num w:numId="44">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5D"/>
    <w:rsid w:val="0000000A"/>
    <w:rsid w:val="00002770"/>
    <w:rsid w:val="00003770"/>
    <w:rsid w:val="00003F11"/>
    <w:rsid w:val="00004EA7"/>
    <w:rsid w:val="00005828"/>
    <w:rsid w:val="00005AC0"/>
    <w:rsid w:val="00005C45"/>
    <w:rsid w:val="00006BCC"/>
    <w:rsid w:val="00006F6B"/>
    <w:rsid w:val="000079A5"/>
    <w:rsid w:val="00007A08"/>
    <w:rsid w:val="000107BC"/>
    <w:rsid w:val="000127D7"/>
    <w:rsid w:val="00012C71"/>
    <w:rsid w:val="0001387B"/>
    <w:rsid w:val="0001406A"/>
    <w:rsid w:val="00014BA7"/>
    <w:rsid w:val="00016E78"/>
    <w:rsid w:val="00016F2B"/>
    <w:rsid w:val="0002059D"/>
    <w:rsid w:val="0002194D"/>
    <w:rsid w:val="00021C82"/>
    <w:rsid w:val="000230F5"/>
    <w:rsid w:val="0002353A"/>
    <w:rsid w:val="000244C8"/>
    <w:rsid w:val="00024725"/>
    <w:rsid w:val="0002509F"/>
    <w:rsid w:val="00025478"/>
    <w:rsid w:val="00026784"/>
    <w:rsid w:val="000267D5"/>
    <w:rsid w:val="00026AE5"/>
    <w:rsid w:val="00026CF7"/>
    <w:rsid w:val="0002703D"/>
    <w:rsid w:val="000311D0"/>
    <w:rsid w:val="00033870"/>
    <w:rsid w:val="00034577"/>
    <w:rsid w:val="00034A91"/>
    <w:rsid w:val="0003511D"/>
    <w:rsid w:val="00035BEF"/>
    <w:rsid w:val="00036889"/>
    <w:rsid w:val="00037093"/>
    <w:rsid w:val="00037219"/>
    <w:rsid w:val="00037FA7"/>
    <w:rsid w:val="0004025B"/>
    <w:rsid w:val="00040BC8"/>
    <w:rsid w:val="00042433"/>
    <w:rsid w:val="000428B9"/>
    <w:rsid w:val="00043342"/>
    <w:rsid w:val="000436E4"/>
    <w:rsid w:val="00044A84"/>
    <w:rsid w:val="0004564A"/>
    <w:rsid w:val="00045C06"/>
    <w:rsid w:val="00046E73"/>
    <w:rsid w:val="00046F91"/>
    <w:rsid w:val="00050364"/>
    <w:rsid w:val="000507C4"/>
    <w:rsid w:val="00050893"/>
    <w:rsid w:val="00050AE0"/>
    <w:rsid w:val="00050D2D"/>
    <w:rsid w:val="0005132E"/>
    <w:rsid w:val="00051C8E"/>
    <w:rsid w:val="00051CD2"/>
    <w:rsid w:val="00051FC1"/>
    <w:rsid w:val="00051FD6"/>
    <w:rsid w:val="000534F7"/>
    <w:rsid w:val="0005355F"/>
    <w:rsid w:val="000559EE"/>
    <w:rsid w:val="00055E5E"/>
    <w:rsid w:val="00056095"/>
    <w:rsid w:val="000600DD"/>
    <w:rsid w:val="0006029C"/>
    <w:rsid w:val="000603A0"/>
    <w:rsid w:val="00062005"/>
    <w:rsid w:val="00063641"/>
    <w:rsid w:val="00066457"/>
    <w:rsid w:val="0006687C"/>
    <w:rsid w:val="00067043"/>
    <w:rsid w:val="0006769F"/>
    <w:rsid w:val="00067AB2"/>
    <w:rsid w:val="00067DB0"/>
    <w:rsid w:val="00067ECF"/>
    <w:rsid w:val="00070821"/>
    <w:rsid w:val="00070C2B"/>
    <w:rsid w:val="000717F7"/>
    <w:rsid w:val="00071A42"/>
    <w:rsid w:val="00071C99"/>
    <w:rsid w:val="0007280B"/>
    <w:rsid w:val="0007352F"/>
    <w:rsid w:val="00074F6F"/>
    <w:rsid w:val="000768B7"/>
    <w:rsid w:val="000769F8"/>
    <w:rsid w:val="00076B2B"/>
    <w:rsid w:val="000801C0"/>
    <w:rsid w:val="00080F80"/>
    <w:rsid w:val="00081C33"/>
    <w:rsid w:val="00081DBA"/>
    <w:rsid w:val="00082333"/>
    <w:rsid w:val="00082AAE"/>
    <w:rsid w:val="00082CD2"/>
    <w:rsid w:val="00084B58"/>
    <w:rsid w:val="00084D0A"/>
    <w:rsid w:val="00084D73"/>
    <w:rsid w:val="000855D9"/>
    <w:rsid w:val="000855E9"/>
    <w:rsid w:val="00085A98"/>
    <w:rsid w:val="00086261"/>
    <w:rsid w:val="000865C1"/>
    <w:rsid w:val="000870EE"/>
    <w:rsid w:val="0008788B"/>
    <w:rsid w:val="0009117B"/>
    <w:rsid w:val="00092A9D"/>
    <w:rsid w:val="00092BC2"/>
    <w:rsid w:val="00092F01"/>
    <w:rsid w:val="000940A6"/>
    <w:rsid w:val="0009435B"/>
    <w:rsid w:val="00095100"/>
    <w:rsid w:val="00095582"/>
    <w:rsid w:val="00095BA3"/>
    <w:rsid w:val="00096568"/>
    <w:rsid w:val="00096A9E"/>
    <w:rsid w:val="000970A4"/>
    <w:rsid w:val="0009781C"/>
    <w:rsid w:val="00097FD5"/>
    <w:rsid w:val="000A04FF"/>
    <w:rsid w:val="000A0C49"/>
    <w:rsid w:val="000A0D85"/>
    <w:rsid w:val="000A12AC"/>
    <w:rsid w:val="000A2EB4"/>
    <w:rsid w:val="000A2FB0"/>
    <w:rsid w:val="000A3CBE"/>
    <w:rsid w:val="000A3F27"/>
    <w:rsid w:val="000A4398"/>
    <w:rsid w:val="000A51BC"/>
    <w:rsid w:val="000A5428"/>
    <w:rsid w:val="000A55BE"/>
    <w:rsid w:val="000A585E"/>
    <w:rsid w:val="000A5CAB"/>
    <w:rsid w:val="000A5E2A"/>
    <w:rsid w:val="000A6447"/>
    <w:rsid w:val="000B0EB2"/>
    <w:rsid w:val="000B0FA2"/>
    <w:rsid w:val="000B1E2F"/>
    <w:rsid w:val="000B4751"/>
    <w:rsid w:val="000B4C70"/>
    <w:rsid w:val="000B4D68"/>
    <w:rsid w:val="000B57DF"/>
    <w:rsid w:val="000B5C07"/>
    <w:rsid w:val="000B6146"/>
    <w:rsid w:val="000B70D2"/>
    <w:rsid w:val="000B7185"/>
    <w:rsid w:val="000B7654"/>
    <w:rsid w:val="000B7B28"/>
    <w:rsid w:val="000B7C9A"/>
    <w:rsid w:val="000C218E"/>
    <w:rsid w:val="000C2B8B"/>
    <w:rsid w:val="000C32B0"/>
    <w:rsid w:val="000C39F6"/>
    <w:rsid w:val="000C3F6C"/>
    <w:rsid w:val="000C4606"/>
    <w:rsid w:val="000C4ADA"/>
    <w:rsid w:val="000C5189"/>
    <w:rsid w:val="000C540E"/>
    <w:rsid w:val="000C5523"/>
    <w:rsid w:val="000C5CC9"/>
    <w:rsid w:val="000C6B06"/>
    <w:rsid w:val="000C6FFD"/>
    <w:rsid w:val="000C70E2"/>
    <w:rsid w:val="000C7A9F"/>
    <w:rsid w:val="000C7C27"/>
    <w:rsid w:val="000D0BC6"/>
    <w:rsid w:val="000D2A75"/>
    <w:rsid w:val="000D3324"/>
    <w:rsid w:val="000D41C6"/>
    <w:rsid w:val="000D47FD"/>
    <w:rsid w:val="000D4BEC"/>
    <w:rsid w:val="000D55ED"/>
    <w:rsid w:val="000D57DD"/>
    <w:rsid w:val="000D5D6F"/>
    <w:rsid w:val="000D5F30"/>
    <w:rsid w:val="000D6350"/>
    <w:rsid w:val="000D72DF"/>
    <w:rsid w:val="000E0769"/>
    <w:rsid w:val="000E0EB4"/>
    <w:rsid w:val="000E187A"/>
    <w:rsid w:val="000E18B8"/>
    <w:rsid w:val="000E2F99"/>
    <w:rsid w:val="000E378A"/>
    <w:rsid w:val="000E48CA"/>
    <w:rsid w:val="000E4EA1"/>
    <w:rsid w:val="000E5485"/>
    <w:rsid w:val="000E6B53"/>
    <w:rsid w:val="000E7906"/>
    <w:rsid w:val="000E793A"/>
    <w:rsid w:val="000E7B5F"/>
    <w:rsid w:val="000F0E78"/>
    <w:rsid w:val="000F0FA4"/>
    <w:rsid w:val="000F3551"/>
    <w:rsid w:val="000F398B"/>
    <w:rsid w:val="000F51BD"/>
    <w:rsid w:val="000F5DCC"/>
    <w:rsid w:val="000F6256"/>
    <w:rsid w:val="000F6416"/>
    <w:rsid w:val="000F757C"/>
    <w:rsid w:val="00100135"/>
    <w:rsid w:val="00102762"/>
    <w:rsid w:val="00102D3E"/>
    <w:rsid w:val="00104750"/>
    <w:rsid w:val="0010502F"/>
    <w:rsid w:val="001052E5"/>
    <w:rsid w:val="00106BD0"/>
    <w:rsid w:val="00110071"/>
    <w:rsid w:val="001105F7"/>
    <w:rsid w:val="001106BB"/>
    <w:rsid w:val="00110DB3"/>
    <w:rsid w:val="00111027"/>
    <w:rsid w:val="0011380C"/>
    <w:rsid w:val="0011442F"/>
    <w:rsid w:val="001144D9"/>
    <w:rsid w:val="00114E7B"/>
    <w:rsid w:val="001160DF"/>
    <w:rsid w:val="00116ECB"/>
    <w:rsid w:val="0011785E"/>
    <w:rsid w:val="00120212"/>
    <w:rsid w:val="001215CF"/>
    <w:rsid w:val="00122046"/>
    <w:rsid w:val="0012248B"/>
    <w:rsid w:val="001227F0"/>
    <w:rsid w:val="001230CE"/>
    <w:rsid w:val="001241FB"/>
    <w:rsid w:val="00125440"/>
    <w:rsid w:val="001254EB"/>
    <w:rsid w:val="001257CE"/>
    <w:rsid w:val="001258C4"/>
    <w:rsid w:val="00125FAF"/>
    <w:rsid w:val="00127E6D"/>
    <w:rsid w:val="00130F7A"/>
    <w:rsid w:val="00131C86"/>
    <w:rsid w:val="001332FF"/>
    <w:rsid w:val="001337F7"/>
    <w:rsid w:val="00133D93"/>
    <w:rsid w:val="00134190"/>
    <w:rsid w:val="0013488D"/>
    <w:rsid w:val="001361CB"/>
    <w:rsid w:val="00137CA0"/>
    <w:rsid w:val="00140346"/>
    <w:rsid w:val="0014208A"/>
    <w:rsid w:val="001421C2"/>
    <w:rsid w:val="0014245A"/>
    <w:rsid w:val="001424DD"/>
    <w:rsid w:val="001437EC"/>
    <w:rsid w:val="00143BB9"/>
    <w:rsid w:val="0014477F"/>
    <w:rsid w:val="00145138"/>
    <w:rsid w:val="00145CB1"/>
    <w:rsid w:val="00145E55"/>
    <w:rsid w:val="00150778"/>
    <w:rsid w:val="00150DA7"/>
    <w:rsid w:val="00150F2B"/>
    <w:rsid w:val="00151261"/>
    <w:rsid w:val="00151702"/>
    <w:rsid w:val="00151BA0"/>
    <w:rsid w:val="001526BA"/>
    <w:rsid w:val="00152F81"/>
    <w:rsid w:val="001535DF"/>
    <w:rsid w:val="00153F09"/>
    <w:rsid w:val="001551F8"/>
    <w:rsid w:val="0015768B"/>
    <w:rsid w:val="00160F50"/>
    <w:rsid w:val="001614A5"/>
    <w:rsid w:val="00161D58"/>
    <w:rsid w:val="00162F7F"/>
    <w:rsid w:val="001630CD"/>
    <w:rsid w:val="001639D8"/>
    <w:rsid w:val="00163A7F"/>
    <w:rsid w:val="00165297"/>
    <w:rsid w:val="001653B7"/>
    <w:rsid w:val="00170CF5"/>
    <w:rsid w:val="001711C3"/>
    <w:rsid w:val="0017122F"/>
    <w:rsid w:val="0017141C"/>
    <w:rsid w:val="00172009"/>
    <w:rsid w:val="00172F61"/>
    <w:rsid w:val="00172FDD"/>
    <w:rsid w:val="00173B29"/>
    <w:rsid w:val="00174360"/>
    <w:rsid w:val="001755C4"/>
    <w:rsid w:val="00175A1D"/>
    <w:rsid w:val="00176336"/>
    <w:rsid w:val="001765BF"/>
    <w:rsid w:val="001779FD"/>
    <w:rsid w:val="00180E0F"/>
    <w:rsid w:val="00181281"/>
    <w:rsid w:val="00181630"/>
    <w:rsid w:val="00182E9C"/>
    <w:rsid w:val="001838DB"/>
    <w:rsid w:val="001843DE"/>
    <w:rsid w:val="001854BF"/>
    <w:rsid w:val="001872C0"/>
    <w:rsid w:val="00187319"/>
    <w:rsid w:val="001877A4"/>
    <w:rsid w:val="00190D84"/>
    <w:rsid w:val="001912FD"/>
    <w:rsid w:val="0019204E"/>
    <w:rsid w:val="00192D95"/>
    <w:rsid w:val="001946EF"/>
    <w:rsid w:val="001956DD"/>
    <w:rsid w:val="00196F63"/>
    <w:rsid w:val="00196FA5"/>
    <w:rsid w:val="00197F3B"/>
    <w:rsid w:val="001A0D5A"/>
    <w:rsid w:val="001A0E93"/>
    <w:rsid w:val="001A170C"/>
    <w:rsid w:val="001A3DB1"/>
    <w:rsid w:val="001A732B"/>
    <w:rsid w:val="001A7402"/>
    <w:rsid w:val="001B010F"/>
    <w:rsid w:val="001B0DFC"/>
    <w:rsid w:val="001B1C93"/>
    <w:rsid w:val="001B1F2D"/>
    <w:rsid w:val="001B22DD"/>
    <w:rsid w:val="001B27F9"/>
    <w:rsid w:val="001B3331"/>
    <w:rsid w:val="001B3BFF"/>
    <w:rsid w:val="001B44FE"/>
    <w:rsid w:val="001B4857"/>
    <w:rsid w:val="001B6850"/>
    <w:rsid w:val="001B6EC1"/>
    <w:rsid w:val="001B78E6"/>
    <w:rsid w:val="001B7D67"/>
    <w:rsid w:val="001C0618"/>
    <w:rsid w:val="001C07E0"/>
    <w:rsid w:val="001C135B"/>
    <w:rsid w:val="001C23D6"/>
    <w:rsid w:val="001C316E"/>
    <w:rsid w:val="001C395D"/>
    <w:rsid w:val="001C5447"/>
    <w:rsid w:val="001C5670"/>
    <w:rsid w:val="001C6006"/>
    <w:rsid w:val="001D033B"/>
    <w:rsid w:val="001D0706"/>
    <w:rsid w:val="001D0D50"/>
    <w:rsid w:val="001D0F2D"/>
    <w:rsid w:val="001D1CB9"/>
    <w:rsid w:val="001D2715"/>
    <w:rsid w:val="001D30A0"/>
    <w:rsid w:val="001D3531"/>
    <w:rsid w:val="001D3D31"/>
    <w:rsid w:val="001D3DF5"/>
    <w:rsid w:val="001D41FF"/>
    <w:rsid w:val="001D4AD8"/>
    <w:rsid w:val="001D4E46"/>
    <w:rsid w:val="001D5678"/>
    <w:rsid w:val="001D6B5C"/>
    <w:rsid w:val="001D706A"/>
    <w:rsid w:val="001D7319"/>
    <w:rsid w:val="001D78A8"/>
    <w:rsid w:val="001D7A34"/>
    <w:rsid w:val="001E091F"/>
    <w:rsid w:val="001E0959"/>
    <w:rsid w:val="001E0C8C"/>
    <w:rsid w:val="001E137F"/>
    <w:rsid w:val="001E1570"/>
    <w:rsid w:val="001E198F"/>
    <w:rsid w:val="001E1BAE"/>
    <w:rsid w:val="001E230A"/>
    <w:rsid w:val="001E2D05"/>
    <w:rsid w:val="001E2D6A"/>
    <w:rsid w:val="001E3D3B"/>
    <w:rsid w:val="001E48D0"/>
    <w:rsid w:val="001E4BCD"/>
    <w:rsid w:val="001E4FD7"/>
    <w:rsid w:val="001E56A9"/>
    <w:rsid w:val="001E5A68"/>
    <w:rsid w:val="001E5E21"/>
    <w:rsid w:val="001E5F60"/>
    <w:rsid w:val="001E6218"/>
    <w:rsid w:val="001E72D3"/>
    <w:rsid w:val="001E762C"/>
    <w:rsid w:val="001F081E"/>
    <w:rsid w:val="001F2897"/>
    <w:rsid w:val="001F362B"/>
    <w:rsid w:val="001F38AC"/>
    <w:rsid w:val="001F3A65"/>
    <w:rsid w:val="001F41C4"/>
    <w:rsid w:val="001F41E7"/>
    <w:rsid w:val="001F442D"/>
    <w:rsid w:val="001F455B"/>
    <w:rsid w:val="001F498D"/>
    <w:rsid w:val="001F4EC9"/>
    <w:rsid w:val="001F4F7A"/>
    <w:rsid w:val="001F5B14"/>
    <w:rsid w:val="001F72C2"/>
    <w:rsid w:val="001F7C84"/>
    <w:rsid w:val="001F7E6B"/>
    <w:rsid w:val="002004AB"/>
    <w:rsid w:val="002029A3"/>
    <w:rsid w:val="0020344C"/>
    <w:rsid w:val="00203511"/>
    <w:rsid w:val="00203FC5"/>
    <w:rsid w:val="002047D5"/>
    <w:rsid w:val="002048C7"/>
    <w:rsid w:val="00205167"/>
    <w:rsid w:val="002057F4"/>
    <w:rsid w:val="00205E7B"/>
    <w:rsid w:val="002063BF"/>
    <w:rsid w:val="00206D73"/>
    <w:rsid w:val="002072C0"/>
    <w:rsid w:val="00207FC3"/>
    <w:rsid w:val="00210892"/>
    <w:rsid w:val="00210ED7"/>
    <w:rsid w:val="002112E0"/>
    <w:rsid w:val="00211413"/>
    <w:rsid w:val="00211AF6"/>
    <w:rsid w:val="00211E38"/>
    <w:rsid w:val="00211ED9"/>
    <w:rsid w:val="00212B21"/>
    <w:rsid w:val="00212BE7"/>
    <w:rsid w:val="00213784"/>
    <w:rsid w:val="00213EEE"/>
    <w:rsid w:val="002155EF"/>
    <w:rsid w:val="0021585C"/>
    <w:rsid w:val="00215D55"/>
    <w:rsid w:val="00215DFC"/>
    <w:rsid w:val="002168CB"/>
    <w:rsid w:val="00216F3A"/>
    <w:rsid w:val="002172CD"/>
    <w:rsid w:val="00217797"/>
    <w:rsid w:val="00217E13"/>
    <w:rsid w:val="00220D10"/>
    <w:rsid w:val="002210EB"/>
    <w:rsid w:val="0022136A"/>
    <w:rsid w:val="00221639"/>
    <w:rsid w:val="00223491"/>
    <w:rsid w:val="0022439B"/>
    <w:rsid w:val="00224FC8"/>
    <w:rsid w:val="00225192"/>
    <w:rsid w:val="002258E3"/>
    <w:rsid w:val="00226A09"/>
    <w:rsid w:val="00227261"/>
    <w:rsid w:val="0022737B"/>
    <w:rsid w:val="002273DE"/>
    <w:rsid w:val="0022765E"/>
    <w:rsid w:val="00227B67"/>
    <w:rsid w:val="002303D6"/>
    <w:rsid w:val="00231CFD"/>
    <w:rsid w:val="00233859"/>
    <w:rsid w:val="00234461"/>
    <w:rsid w:val="00237165"/>
    <w:rsid w:val="00237273"/>
    <w:rsid w:val="00240306"/>
    <w:rsid w:val="0024046A"/>
    <w:rsid w:val="00240BF4"/>
    <w:rsid w:val="0024166C"/>
    <w:rsid w:val="00242261"/>
    <w:rsid w:val="002429BD"/>
    <w:rsid w:val="00242B2E"/>
    <w:rsid w:val="002432E3"/>
    <w:rsid w:val="00243B97"/>
    <w:rsid w:val="002448BA"/>
    <w:rsid w:val="00245D16"/>
    <w:rsid w:val="00245D56"/>
    <w:rsid w:val="0024653F"/>
    <w:rsid w:val="0025099C"/>
    <w:rsid w:val="0025143B"/>
    <w:rsid w:val="00251966"/>
    <w:rsid w:val="00251EAA"/>
    <w:rsid w:val="00251FBB"/>
    <w:rsid w:val="00252936"/>
    <w:rsid w:val="002537EA"/>
    <w:rsid w:val="002549C5"/>
    <w:rsid w:val="0025601D"/>
    <w:rsid w:val="00256701"/>
    <w:rsid w:val="002568F6"/>
    <w:rsid w:val="00256BF7"/>
    <w:rsid w:val="00256C3E"/>
    <w:rsid w:val="002570E7"/>
    <w:rsid w:val="0025728D"/>
    <w:rsid w:val="002578E5"/>
    <w:rsid w:val="00257E9D"/>
    <w:rsid w:val="0026072E"/>
    <w:rsid w:val="00261621"/>
    <w:rsid w:val="00262648"/>
    <w:rsid w:val="00262BDD"/>
    <w:rsid w:val="00262D83"/>
    <w:rsid w:val="00263BE9"/>
    <w:rsid w:val="00263E48"/>
    <w:rsid w:val="002645BC"/>
    <w:rsid w:val="00264DF9"/>
    <w:rsid w:val="00266580"/>
    <w:rsid w:val="00266F42"/>
    <w:rsid w:val="0027017B"/>
    <w:rsid w:val="002706F5"/>
    <w:rsid w:val="00270D84"/>
    <w:rsid w:val="00272233"/>
    <w:rsid w:val="0027306D"/>
    <w:rsid w:val="00274DC1"/>
    <w:rsid w:val="00275493"/>
    <w:rsid w:val="00276007"/>
    <w:rsid w:val="00276B5C"/>
    <w:rsid w:val="00276B9C"/>
    <w:rsid w:val="00277C57"/>
    <w:rsid w:val="00277DD4"/>
    <w:rsid w:val="00277F34"/>
    <w:rsid w:val="00281718"/>
    <w:rsid w:val="00281934"/>
    <w:rsid w:val="00282C70"/>
    <w:rsid w:val="00283515"/>
    <w:rsid w:val="0028386B"/>
    <w:rsid w:val="00283D1A"/>
    <w:rsid w:val="00283E81"/>
    <w:rsid w:val="00283FBB"/>
    <w:rsid w:val="00284801"/>
    <w:rsid w:val="002851BD"/>
    <w:rsid w:val="00285F66"/>
    <w:rsid w:val="002869A2"/>
    <w:rsid w:val="00286A16"/>
    <w:rsid w:val="00287770"/>
    <w:rsid w:val="0029014A"/>
    <w:rsid w:val="00291D76"/>
    <w:rsid w:val="00291FC9"/>
    <w:rsid w:val="0029218B"/>
    <w:rsid w:val="00293122"/>
    <w:rsid w:val="00293541"/>
    <w:rsid w:val="0029384F"/>
    <w:rsid w:val="002939B5"/>
    <w:rsid w:val="00293D81"/>
    <w:rsid w:val="00293E0A"/>
    <w:rsid w:val="00294280"/>
    <w:rsid w:val="00294581"/>
    <w:rsid w:val="0029576D"/>
    <w:rsid w:val="00295D83"/>
    <w:rsid w:val="002962B8"/>
    <w:rsid w:val="002974AC"/>
    <w:rsid w:val="002A09C6"/>
    <w:rsid w:val="002A0BAC"/>
    <w:rsid w:val="002A0CA6"/>
    <w:rsid w:val="002A175B"/>
    <w:rsid w:val="002A1850"/>
    <w:rsid w:val="002A19BC"/>
    <w:rsid w:val="002A1C4E"/>
    <w:rsid w:val="002A2AD1"/>
    <w:rsid w:val="002A3B60"/>
    <w:rsid w:val="002A4E25"/>
    <w:rsid w:val="002A5318"/>
    <w:rsid w:val="002A5E83"/>
    <w:rsid w:val="002A6578"/>
    <w:rsid w:val="002A686D"/>
    <w:rsid w:val="002A7299"/>
    <w:rsid w:val="002B02A0"/>
    <w:rsid w:val="002B0BD5"/>
    <w:rsid w:val="002B1988"/>
    <w:rsid w:val="002B25AF"/>
    <w:rsid w:val="002B2A71"/>
    <w:rsid w:val="002B34FF"/>
    <w:rsid w:val="002B4599"/>
    <w:rsid w:val="002B71C6"/>
    <w:rsid w:val="002B7E85"/>
    <w:rsid w:val="002C078F"/>
    <w:rsid w:val="002C0CD2"/>
    <w:rsid w:val="002C10A0"/>
    <w:rsid w:val="002C1696"/>
    <w:rsid w:val="002C1F01"/>
    <w:rsid w:val="002C2E5A"/>
    <w:rsid w:val="002C3AA8"/>
    <w:rsid w:val="002C3DEA"/>
    <w:rsid w:val="002C5BE9"/>
    <w:rsid w:val="002C6DD9"/>
    <w:rsid w:val="002D07D9"/>
    <w:rsid w:val="002D0FCF"/>
    <w:rsid w:val="002D134F"/>
    <w:rsid w:val="002D15BE"/>
    <w:rsid w:val="002D23C5"/>
    <w:rsid w:val="002D2C5E"/>
    <w:rsid w:val="002D314F"/>
    <w:rsid w:val="002D4522"/>
    <w:rsid w:val="002D4B41"/>
    <w:rsid w:val="002D54F6"/>
    <w:rsid w:val="002D5642"/>
    <w:rsid w:val="002D5F4C"/>
    <w:rsid w:val="002D6FAF"/>
    <w:rsid w:val="002D70A4"/>
    <w:rsid w:val="002D7422"/>
    <w:rsid w:val="002E065E"/>
    <w:rsid w:val="002E0EBD"/>
    <w:rsid w:val="002E0F23"/>
    <w:rsid w:val="002E1ADE"/>
    <w:rsid w:val="002E20E4"/>
    <w:rsid w:val="002E21E8"/>
    <w:rsid w:val="002E2282"/>
    <w:rsid w:val="002E2B3F"/>
    <w:rsid w:val="002E388A"/>
    <w:rsid w:val="002E47DE"/>
    <w:rsid w:val="002E52EB"/>
    <w:rsid w:val="002E5721"/>
    <w:rsid w:val="002E5AAF"/>
    <w:rsid w:val="002E5ED6"/>
    <w:rsid w:val="002E6B08"/>
    <w:rsid w:val="002E712A"/>
    <w:rsid w:val="002E789D"/>
    <w:rsid w:val="002E7B15"/>
    <w:rsid w:val="002F0505"/>
    <w:rsid w:val="002F0C38"/>
    <w:rsid w:val="002F0FC6"/>
    <w:rsid w:val="002F1B3E"/>
    <w:rsid w:val="002F1D4C"/>
    <w:rsid w:val="002F32CD"/>
    <w:rsid w:val="002F34ED"/>
    <w:rsid w:val="002F3626"/>
    <w:rsid w:val="002F37E6"/>
    <w:rsid w:val="002F40F4"/>
    <w:rsid w:val="002F417E"/>
    <w:rsid w:val="002F4ADA"/>
    <w:rsid w:val="002F51CB"/>
    <w:rsid w:val="002F56D7"/>
    <w:rsid w:val="002F6582"/>
    <w:rsid w:val="002F6A60"/>
    <w:rsid w:val="002F7B21"/>
    <w:rsid w:val="003002F6"/>
    <w:rsid w:val="00301EA1"/>
    <w:rsid w:val="00303907"/>
    <w:rsid w:val="0030488C"/>
    <w:rsid w:val="00305A44"/>
    <w:rsid w:val="0031056B"/>
    <w:rsid w:val="003109A8"/>
    <w:rsid w:val="003112D7"/>
    <w:rsid w:val="00311378"/>
    <w:rsid w:val="003121C5"/>
    <w:rsid w:val="003128B1"/>
    <w:rsid w:val="00312F6A"/>
    <w:rsid w:val="0031315A"/>
    <w:rsid w:val="00313841"/>
    <w:rsid w:val="00315A17"/>
    <w:rsid w:val="00315CD8"/>
    <w:rsid w:val="00315FBD"/>
    <w:rsid w:val="003160D8"/>
    <w:rsid w:val="003166A9"/>
    <w:rsid w:val="003175E0"/>
    <w:rsid w:val="003204BD"/>
    <w:rsid w:val="00320DC4"/>
    <w:rsid w:val="00321C98"/>
    <w:rsid w:val="003220AF"/>
    <w:rsid w:val="003233E3"/>
    <w:rsid w:val="0032370A"/>
    <w:rsid w:val="00324BCF"/>
    <w:rsid w:val="003252A0"/>
    <w:rsid w:val="00325BE1"/>
    <w:rsid w:val="003261B3"/>
    <w:rsid w:val="00326542"/>
    <w:rsid w:val="00326C05"/>
    <w:rsid w:val="00326EE8"/>
    <w:rsid w:val="00327A2F"/>
    <w:rsid w:val="00327A5F"/>
    <w:rsid w:val="00327C51"/>
    <w:rsid w:val="00330EDD"/>
    <w:rsid w:val="0033170E"/>
    <w:rsid w:val="003319AD"/>
    <w:rsid w:val="003328E6"/>
    <w:rsid w:val="003330B3"/>
    <w:rsid w:val="00333261"/>
    <w:rsid w:val="0033399C"/>
    <w:rsid w:val="003344F4"/>
    <w:rsid w:val="00335576"/>
    <w:rsid w:val="00336467"/>
    <w:rsid w:val="003371EA"/>
    <w:rsid w:val="00340EAA"/>
    <w:rsid w:val="00341128"/>
    <w:rsid w:val="00341289"/>
    <w:rsid w:val="00342095"/>
    <w:rsid w:val="0034215F"/>
    <w:rsid w:val="003425AF"/>
    <w:rsid w:val="00342AA9"/>
    <w:rsid w:val="003440FA"/>
    <w:rsid w:val="003448C4"/>
    <w:rsid w:val="0034588B"/>
    <w:rsid w:val="00345ECD"/>
    <w:rsid w:val="00345FD9"/>
    <w:rsid w:val="0034678C"/>
    <w:rsid w:val="00346D79"/>
    <w:rsid w:val="00347613"/>
    <w:rsid w:val="00347D15"/>
    <w:rsid w:val="00351724"/>
    <w:rsid w:val="00351A90"/>
    <w:rsid w:val="00352091"/>
    <w:rsid w:val="00352B7B"/>
    <w:rsid w:val="00352EEC"/>
    <w:rsid w:val="00354A05"/>
    <w:rsid w:val="003551FC"/>
    <w:rsid w:val="00356A5B"/>
    <w:rsid w:val="00356D68"/>
    <w:rsid w:val="003601A0"/>
    <w:rsid w:val="00360DF8"/>
    <w:rsid w:val="0036174F"/>
    <w:rsid w:val="00361ACB"/>
    <w:rsid w:val="003624CE"/>
    <w:rsid w:val="00362BBC"/>
    <w:rsid w:val="00362D76"/>
    <w:rsid w:val="0036390A"/>
    <w:rsid w:val="00363C79"/>
    <w:rsid w:val="00364C94"/>
    <w:rsid w:val="0036541D"/>
    <w:rsid w:val="003656BE"/>
    <w:rsid w:val="00365733"/>
    <w:rsid w:val="00365985"/>
    <w:rsid w:val="00366C75"/>
    <w:rsid w:val="00367370"/>
    <w:rsid w:val="003674D1"/>
    <w:rsid w:val="00367EA8"/>
    <w:rsid w:val="0037078A"/>
    <w:rsid w:val="00370971"/>
    <w:rsid w:val="003734C7"/>
    <w:rsid w:val="00373EEB"/>
    <w:rsid w:val="00375826"/>
    <w:rsid w:val="00375DDC"/>
    <w:rsid w:val="0037661B"/>
    <w:rsid w:val="00377183"/>
    <w:rsid w:val="00377187"/>
    <w:rsid w:val="00377F96"/>
    <w:rsid w:val="003801AE"/>
    <w:rsid w:val="003802D3"/>
    <w:rsid w:val="00380374"/>
    <w:rsid w:val="003803A4"/>
    <w:rsid w:val="0038088C"/>
    <w:rsid w:val="00381A94"/>
    <w:rsid w:val="00381D1E"/>
    <w:rsid w:val="003824E2"/>
    <w:rsid w:val="003827BD"/>
    <w:rsid w:val="003827D2"/>
    <w:rsid w:val="003829E1"/>
    <w:rsid w:val="00382B8F"/>
    <w:rsid w:val="00382CB7"/>
    <w:rsid w:val="00382E82"/>
    <w:rsid w:val="003845C3"/>
    <w:rsid w:val="003847C7"/>
    <w:rsid w:val="00384809"/>
    <w:rsid w:val="00384F51"/>
    <w:rsid w:val="0038536F"/>
    <w:rsid w:val="00387464"/>
    <w:rsid w:val="00387E36"/>
    <w:rsid w:val="00390E45"/>
    <w:rsid w:val="00391B52"/>
    <w:rsid w:val="0039254A"/>
    <w:rsid w:val="003930A4"/>
    <w:rsid w:val="00393497"/>
    <w:rsid w:val="00393579"/>
    <w:rsid w:val="0039423C"/>
    <w:rsid w:val="0039439D"/>
    <w:rsid w:val="003962EE"/>
    <w:rsid w:val="003973E3"/>
    <w:rsid w:val="0039786D"/>
    <w:rsid w:val="00397D1F"/>
    <w:rsid w:val="00397ED7"/>
    <w:rsid w:val="003A0A3A"/>
    <w:rsid w:val="003A0C07"/>
    <w:rsid w:val="003A14E7"/>
    <w:rsid w:val="003A16EF"/>
    <w:rsid w:val="003A18B8"/>
    <w:rsid w:val="003A2170"/>
    <w:rsid w:val="003A2F33"/>
    <w:rsid w:val="003A3D8E"/>
    <w:rsid w:val="003A41C2"/>
    <w:rsid w:val="003A488D"/>
    <w:rsid w:val="003A5FB3"/>
    <w:rsid w:val="003A715C"/>
    <w:rsid w:val="003A738F"/>
    <w:rsid w:val="003A7B53"/>
    <w:rsid w:val="003A7C18"/>
    <w:rsid w:val="003B232D"/>
    <w:rsid w:val="003B2BC0"/>
    <w:rsid w:val="003B2C79"/>
    <w:rsid w:val="003B4351"/>
    <w:rsid w:val="003B58F2"/>
    <w:rsid w:val="003B69AA"/>
    <w:rsid w:val="003B7439"/>
    <w:rsid w:val="003B78F3"/>
    <w:rsid w:val="003B7A99"/>
    <w:rsid w:val="003C02FC"/>
    <w:rsid w:val="003C0654"/>
    <w:rsid w:val="003C0799"/>
    <w:rsid w:val="003C0A95"/>
    <w:rsid w:val="003C0E89"/>
    <w:rsid w:val="003C17FF"/>
    <w:rsid w:val="003C259D"/>
    <w:rsid w:val="003C35A7"/>
    <w:rsid w:val="003C368B"/>
    <w:rsid w:val="003C4466"/>
    <w:rsid w:val="003C7134"/>
    <w:rsid w:val="003C7FBB"/>
    <w:rsid w:val="003D04F6"/>
    <w:rsid w:val="003D074B"/>
    <w:rsid w:val="003D1532"/>
    <w:rsid w:val="003D1CF2"/>
    <w:rsid w:val="003D25E9"/>
    <w:rsid w:val="003D3F3E"/>
    <w:rsid w:val="003D4048"/>
    <w:rsid w:val="003D4619"/>
    <w:rsid w:val="003D483E"/>
    <w:rsid w:val="003D4A2D"/>
    <w:rsid w:val="003D4AAC"/>
    <w:rsid w:val="003D4C9B"/>
    <w:rsid w:val="003D4CCA"/>
    <w:rsid w:val="003D4D63"/>
    <w:rsid w:val="003D5632"/>
    <w:rsid w:val="003D63C7"/>
    <w:rsid w:val="003E13D6"/>
    <w:rsid w:val="003E1841"/>
    <w:rsid w:val="003E3BB7"/>
    <w:rsid w:val="003E5405"/>
    <w:rsid w:val="003E5CDC"/>
    <w:rsid w:val="003E64A1"/>
    <w:rsid w:val="003E6B9A"/>
    <w:rsid w:val="003E78F4"/>
    <w:rsid w:val="003E79E1"/>
    <w:rsid w:val="003E7CA8"/>
    <w:rsid w:val="003F0A49"/>
    <w:rsid w:val="003F1022"/>
    <w:rsid w:val="003F1FB7"/>
    <w:rsid w:val="003F29EF"/>
    <w:rsid w:val="003F2A07"/>
    <w:rsid w:val="003F2BA9"/>
    <w:rsid w:val="003F3FDD"/>
    <w:rsid w:val="003F4246"/>
    <w:rsid w:val="003F498B"/>
    <w:rsid w:val="003F56F7"/>
    <w:rsid w:val="003F5767"/>
    <w:rsid w:val="003F693B"/>
    <w:rsid w:val="003F74C1"/>
    <w:rsid w:val="003F7583"/>
    <w:rsid w:val="003F7BEE"/>
    <w:rsid w:val="003F7E85"/>
    <w:rsid w:val="003F7F2B"/>
    <w:rsid w:val="004002B2"/>
    <w:rsid w:val="00400A4C"/>
    <w:rsid w:val="004022BA"/>
    <w:rsid w:val="004024C0"/>
    <w:rsid w:val="00402574"/>
    <w:rsid w:val="00403F93"/>
    <w:rsid w:val="00404039"/>
    <w:rsid w:val="004041E1"/>
    <w:rsid w:val="00405C6A"/>
    <w:rsid w:val="00406ED9"/>
    <w:rsid w:val="00407AFD"/>
    <w:rsid w:val="0041151F"/>
    <w:rsid w:val="00412429"/>
    <w:rsid w:val="00413E90"/>
    <w:rsid w:val="0041461F"/>
    <w:rsid w:val="00414F26"/>
    <w:rsid w:val="00415554"/>
    <w:rsid w:val="00416115"/>
    <w:rsid w:val="004165DD"/>
    <w:rsid w:val="004170B6"/>
    <w:rsid w:val="00417A28"/>
    <w:rsid w:val="00417F46"/>
    <w:rsid w:val="0042006D"/>
    <w:rsid w:val="0042063A"/>
    <w:rsid w:val="0042158F"/>
    <w:rsid w:val="00421D3A"/>
    <w:rsid w:val="00421FF0"/>
    <w:rsid w:val="0042236B"/>
    <w:rsid w:val="00424A3F"/>
    <w:rsid w:val="004253EB"/>
    <w:rsid w:val="00425946"/>
    <w:rsid w:val="00425A42"/>
    <w:rsid w:val="00426FC4"/>
    <w:rsid w:val="00430444"/>
    <w:rsid w:val="00430587"/>
    <w:rsid w:val="0043080F"/>
    <w:rsid w:val="00430DE1"/>
    <w:rsid w:val="00430E29"/>
    <w:rsid w:val="00431655"/>
    <w:rsid w:val="004323BB"/>
    <w:rsid w:val="004326A4"/>
    <w:rsid w:val="0043596C"/>
    <w:rsid w:val="004360C5"/>
    <w:rsid w:val="004374BF"/>
    <w:rsid w:val="00437DB4"/>
    <w:rsid w:val="00440B01"/>
    <w:rsid w:val="004411F6"/>
    <w:rsid w:val="004414B4"/>
    <w:rsid w:val="00441C72"/>
    <w:rsid w:val="004423FD"/>
    <w:rsid w:val="00442776"/>
    <w:rsid w:val="004427A7"/>
    <w:rsid w:val="00442E20"/>
    <w:rsid w:val="00443469"/>
    <w:rsid w:val="00443CB8"/>
    <w:rsid w:val="0044468A"/>
    <w:rsid w:val="00444812"/>
    <w:rsid w:val="00445305"/>
    <w:rsid w:val="0044546B"/>
    <w:rsid w:val="00445584"/>
    <w:rsid w:val="00445979"/>
    <w:rsid w:val="00445D20"/>
    <w:rsid w:val="00447F00"/>
    <w:rsid w:val="00450D8A"/>
    <w:rsid w:val="004522BF"/>
    <w:rsid w:val="00452864"/>
    <w:rsid w:val="004529F2"/>
    <w:rsid w:val="004530E1"/>
    <w:rsid w:val="00453A6E"/>
    <w:rsid w:val="00454AFC"/>
    <w:rsid w:val="00455A80"/>
    <w:rsid w:val="004563DC"/>
    <w:rsid w:val="00457334"/>
    <w:rsid w:val="0045773F"/>
    <w:rsid w:val="00457A71"/>
    <w:rsid w:val="00457DE3"/>
    <w:rsid w:val="00457FBD"/>
    <w:rsid w:val="00460354"/>
    <w:rsid w:val="0046079F"/>
    <w:rsid w:val="00460BCC"/>
    <w:rsid w:val="00460DA0"/>
    <w:rsid w:val="00460E69"/>
    <w:rsid w:val="00462B6D"/>
    <w:rsid w:val="0046312C"/>
    <w:rsid w:val="00463E6F"/>
    <w:rsid w:val="0046490A"/>
    <w:rsid w:val="004654FF"/>
    <w:rsid w:val="00465806"/>
    <w:rsid w:val="00465FE3"/>
    <w:rsid w:val="00466135"/>
    <w:rsid w:val="00466A1B"/>
    <w:rsid w:val="00467075"/>
    <w:rsid w:val="004675CD"/>
    <w:rsid w:val="0046782E"/>
    <w:rsid w:val="00467AB1"/>
    <w:rsid w:val="004701AE"/>
    <w:rsid w:val="004701B5"/>
    <w:rsid w:val="0047039B"/>
    <w:rsid w:val="00471537"/>
    <w:rsid w:val="00471F03"/>
    <w:rsid w:val="004727D0"/>
    <w:rsid w:val="00473C91"/>
    <w:rsid w:val="004740E3"/>
    <w:rsid w:val="0047470A"/>
    <w:rsid w:val="00474737"/>
    <w:rsid w:val="00474DA7"/>
    <w:rsid w:val="00474E1B"/>
    <w:rsid w:val="004765C7"/>
    <w:rsid w:val="004766C0"/>
    <w:rsid w:val="0047785F"/>
    <w:rsid w:val="00480A15"/>
    <w:rsid w:val="00480D13"/>
    <w:rsid w:val="0048160A"/>
    <w:rsid w:val="004826E0"/>
    <w:rsid w:val="004837C8"/>
    <w:rsid w:val="00484F87"/>
    <w:rsid w:val="0048533A"/>
    <w:rsid w:val="004859A7"/>
    <w:rsid w:val="00485B78"/>
    <w:rsid w:val="00486490"/>
    <w:rsid w:val="00487DB3"/>
    <w:rsid w:val="004902CF"/>
    <w:rsid w:val="004913F4"/>
    <w:rsid w:val="00491B28"/>
    <w:rsid w:val="00493492"/>
    <w:rsid w:val="004938EA"/>
    <w:rsid w:val="00493FA5"/>
    <w:rsid w:val="00494687"/>
    <w:rsid w:val="0049475F"/>
    <w:rsid w:val="004951DE"/>
    <w:rsid w:val="00495A2C"/>
    <w:rsid w:val="004962C6"/>
    <w:rsid w:val="004967BC"/>
    <w:rsid w:val="00496F1B"/>
    <w:rsid w:val="00497E28"/>
    <w:rsid w:val="004A096F"/>
    <w:rsid w:val="004A2757"/>
    <w:rsid w:val="004A33C4"/>
    <w:rsid w:val="004A3745"/>
    <w:rsid w:val="004A3C6F"/>
    <w:rsid w:val="004A4A9F"/>
    <w:rsid w:val="004A5491"/>
    <w:rsid w:val="004A5AA4"/>
    <w:rsid w:val="004A65BF"/>
    <w:rsid w:val="004A6608"/>
    <w:rsid w:val="004A7928"/>
    <w:rsid w:val="004B0144"/>
    <w:rsid w:val="004B0157"/>
    <w:rsid w:val="004B016F"/>
    <w:rsid w:val="004B10E9"/>
    <w:rsid w:val="004B13D8"/>
    <w:rsid w:val="004B27E2"/>
    <w:rsid w:val="004B28BE"/>
    <w:rsid w:val="004B2B93"/>
    <w:rsid w:val="004B3804"/>
    <w:rsid w:val="004B3AAA"/>
    <w:rsid w:val="004B427F"/>
    <w:rsid w:val="004B4294"/>
    <w:rsid w:val="004B4A0E"/>
    <w:rsid w:val="004B4D7D"/>
    <w:rsid w:val="004B54E1"/>
    <w:rsid w:val="004B5BAE"/>
    <w:rsid w:val="004B60C1"/>
    <w:rsid w:val="004B732B"/>
    <w:rsid w:val="004C028D"/>
    <w:rsid w:val="004C0A9D"/>
    <w:rsid w:val="004C1022"/>
    <w:rsid w:val="004C13C8"/>
    <w:rsid w:val="004C203C"/>
    <w:rsid w:val="004C2F9E"/>
    <w:rsid w:val="004C39F6"/>
    <w:rsid w:val="004C4B78"/>
    <w:rsid w:val="004C513D"/>
    <w:rsid w:val="004C5792"/>
    <w:rsid w:val="004C5B19"/>
    <w:rsid w:val="004C5DF9"/>
    <w:rsid w:val="004C5EDD"/>
    <w:rsid w:val="004C66C5"/>
    <w:rsid w:val="004C70E0"/>
    <w:rsid w:val="004C7B13"/>
    <w:rsid w:val="004D130F"/>
    <w:rsid w:val="004D22A6"/>
    <w:rsid w:val="004D252C"/>
    <w:rsid w:val="004D29E3"/>
    <w:rsid w:val="004D3C97"/>
    <w:rsid w:val="004D4611"/>
    <w:rsid w:val="004D4D1E"/>
    <w:rsid w:val="004D4DAD"/>
    <w:rsid w:val="004D598C"/>
    <w:rsid w:val="004D6BC2"/>
    <w:rsid w:val="004E0BB9"/>
    <w:rsid w:val="004E0CD4"/>
    <w:rsid w:val="004E10AE"/>
    <w:rsid w:val="004E2390"/>
    <w:rsid w:val="004E3235"/>
    <w:rsid w:val="004E3C9A"/>
    <w:rsid w:val="004E4354"/>
    <w:rsid w:val="004E5274"/>
    <w:rsid w:val="004E6CC6"/>
    <w:rsid w:val="004E6EBC"/>
    <w:rsid w:val="004E7454"/>
    <w:rsid w:val="004F09A3"/>
    <w:rsid w:val="004F0F7D"/>
    <w:rsid w:val="004F12D1"/>
    <w:rsid w:val="004F2BEA"/>
    <w:rsid w:val="004F3C77"/>
    <w:rsid w:val="004F4141"/>
    <w:rsid w:val="004F45A0"/>
    <w:rsid w:val="004F5B2A"/>
    <w:rsid w:val="004F623E"/>
    <w:rsid w:val="004F6F26"/>
    <w:rsid w:val="0050152E"/>
    <w:rsid w:val="00501819"/>
    <w:rsid w:val="00501BCB"/>
    <w:rsid w:val="00502B87"/>
    <w:rsid w:val="00502C1A"/>
    <w:rsid w:val="00503854"/>
    <w:rsid w:val="00503888"/>
    <w:rsid w:val="005045FA"/>
    <w:rsid w:val="00504758"/>
    <w:rsid w:val="00505981"/>
    <w:rsid w:val="00505B62"/>
    <w:rsid w:val="00505E42"/>
    <w:rsid w:val="00506364"/>
    <w:rsid w:val="00506942"/>
    <w:rsid w:val="005077FD"/>
    <w:rsid w:val="00507A86"/>
    <w:rsid w:val="00507E6E"/>
    <w:rsid w:val="00510688"/>
    <w:rsid w:val="00510CB6"/>
    <w:rsid w:val="0051114D"/>
    <w:rsid w:val="005128A9"/>
    <w:rsid w:val="005129A2"/>
    <w:rsid w:val="00512EF9"/>
    <w:rsid w:val="0051323E"/>
    <w:rsid w:val="0051356D"/>
    <w:rsid w:val="00513978"/>
    <w:rsid w:val="00514DB4"/>
    <w:rsid w:val="00514F9E"/>
    <w:rsid w:val="005153F8"/>
    <w:rsid w:val="005160B6"/>
    <w:rsid w:val="00516D2A"/>
    <w:rsid w:val="00516DCB"/>
    <w:rsid w:val="00516F4E"/>
    <w:rsid w:val="00517F40"/>
    <w:rsid w:val="005206FB"/>
    <w:rsid w:val="00521FAF"/>
    <w:rsid w:val="0052407A"/>
    <w:rsid w:val="00524304"/>
    <w:rsid w:val="00524355"/>
    <w:rsid w:val="00524AA3"/>
    <w:rsid w:val="005250AF"/>
    <w:rsid w:val="0052537E"/>
    <w:rsid w:val="0052541D"/>
    <w:rsid w:val="005255E9"/>
    <w:rsid w:val="005259F7"/>
    <w:rsid w:val="00525F7D"/>
    <w:rsid w:val="00526F73"/>
    <w:rsid w:val="00526FCE"/>
    <w:rsid w:val="00527C3A"/>
    <w:rsid w:val="00532182"/>
    <w:rsid w:val="0053367F"/>
    <w:rsid w:val="005358F0"/>
    <w:rsid w:val="00536312"/>
    <w:rsid w:val="005415D1"/>
    <w:rsid w:val="00541862"/>
    <w:rsid w:val="00541A82"/>
    <w:rsid w:val="00541D8D"/>
    <w:rsid w:val="00542336"/>
    <w:rsid w:val="00543559"/>
    <w:rsid w:val="0054388D"/>
    <w:rsid w:val="00543C1F"/>
    <w:rsid w:val="00546A74"/>
    <w:rsid w:val="00546CFD"/>
    <w:rsid w:val="00550541"/>
    <w:rsid w:val="00550749"/>
    <w:rsid w:val="00551AAE"/>
    <w:rsid w:val="005524EF"/>
    <w:rsid w:val="0055270F"/>
    <w:rsid w:val="0055318E"/>
    <w:rsid w:val="00553348"/>
    <w:rsid w:val="00553A11"/>
    <w:rsid w:val="00555149"/>
    <w:rsid w:val="00555A1E"/>
    <w:rsid w:val="00556C49"/>
    <w:rsid w:val="00556D50"/>
    <w:rsid w:val="0055791F"/>
    <w:rsid w:val="005600DB"/>
    <w:rsid w:val="005606FA"/>
    <w:rsid w:val="005617DC"/>
    <w:rsid w:val="0056240C"/>
    <w:rsid w:val="005626CC"/>
    <w:rsid w:val="005669FA"/>
    <w:rsid w:val="00566BA7"/>
    <w:rsid w:val="00567391"/>
    <w:rsid w:val="005675B1"/>
    <w:rsid w:val="00567BA6"/>
    <w:rsid w:val="00567D93"/>
    <w:rsid w:val="005700B7"/>
    <w:rsid w:val="005708E1"/>
    <w:rsid w:val="00571238"/>
    <w:rsid w:val="0057195C"/>
    <w:rsid w:val="00572552"/>
    <w:rsid w:val="00572B38"/>
    <w:rsid w:val="00572C0F"/>
    <w:rsid w:val="00572DCB"/>
    <w:rsid w:val="005738C7"/>
    <w:rsid w:val="00573923"/>
    <w:rsid w:val="005743A7"/>
    <w:rsid w:val="005743F2"/>
    <w:rsid w:val="005745B9"/>
    <w:rsid w:val="005762D8"/>
    <w:rsid w:val="00576A9E"/>
    <w:rsid w:val="005776CE"/>
    <w:rsid w:val="00577F60"/>
    <w:rsid w:val="00580153"/>
    <w:rsid w:val="00580723"/>
    <w:rsid w:val="00580BF6"/>
    <w:rsid w:val="005810A5"/>
    <w:rsid w:val="00581301"/>
    <w:rsid w:val="005817A5"/>
    <w:rsid w:val="00581E2C"/>
    <w:rsid w:val="00582066"/>
    <w:rsid w:val="005822DA"/>
    <w:rsid w:val="00582BA3"/>
    <w:rsid w:val="005830B6"/>
    <w:rsid w:val="0058346D"/>
    <w:rsid w:val="0058467F"/>
    <w:rsid w:val="00584AA8"/>
    <w:rsid w:val="0058651C"/>
    <w:rsid w:val="00587433"/>
    <w:rsid w:val="00587786"/>
    <w:rsid w:val="005906C1"/>
    <w:rsid w:val="00590C40"/>
    <w:rsid w:val="00591218"/>
    <w:rsid w:val="00591674"/>
    <w:rsid w:val="00591760"/>
    <w:rsid w:val="00591BB5"/>
    <w:rsid w:val="00592083"/>
    <w:rsid w:val="00592609"/>
    <w:rsid w:val="00594A46"/>
    <w:rsid w:val="00594BB4"/>
    <w:rsid w:val="00594BEF"/>
    <w:rsid w:val="00595CA2"/>
    <w:rsid w:val="005966B9"/>
    <w:rsid w:val="005A0B09"/>
    <w:rsid w:val="005A0BB8"/>
    <w:rsid w:val="005A0ED6"/>
    <w:rsid w:val="005A13F2"/>
    <w:rsid w:val="005A1D1F"/>
    <w:rsid w:val="005A292C"/>
    <w:rsid w:val="005A322F"/>
    <w:rsid w:val="005A36D3"/>
    <w:rsid w:val="005A3873"/>
    <w:rsid w:val="005A397E"/>
    <w:rsid w:val="005A46D2"/>
    <w:rsid w:val="005A5A29"/>
    <w:rsid w:val="005A5B24"/>
    <w:rsid w:val="005A6118"/>
    <w:rsid w:val="005A70B2"/>
    <w:rsid w:val="005A7ADF"/>
    <w:rsid w:val="005A7B09"/>
    <w:rsid w:val="005B098E"/>
    <w:rsid w:val="005B0A23"/>
    <w:rsid w:val="005B0C13"/>
    <w:rsid w:val="005B0C99"/>
    <w:rsid w:val="005B0DB4"/>
    <w:rsid w:val="005B0EEC"/>
    <w:rsid w:val="005B1345"/>
    <w:rsid w:val="005B177D"/>
    <w:rsid w:val="005B2A5E"/>
    <w:rsid w:val="005B345D"/>
    <w:rsid w:val="005B3A85"/>
    <w:rsid w:val="005B3BE0"/>
    <w:rsid w:val="005B5A3B"/>
    <w:rsid w:val="005B5F52"/>
    <w:rsid w:val="005B6575"/>
    <w:rsid w:val="005B6C9C"/>
    <w:rsid w:val="005B6FFE"/>
    <w:rsid w:val="005B7387"/>
    <w:rsid w:val="005B75A4"/>
    <w:rsid w:val="005C2192"/>
    <w:rsid w:val="005C300C"/>
    <w:rsid w:val="005C3710"/>
    <w:rsid w:val="005C3AA7"/>
    <w:rsid w:val="005C4910"/>
    <w:rsid w:val="005C5835"/>
    <w:rsid w:val="005D1800"/>
    <w:rsid w:val="005D416B"/>
    <w:rsid w:val="005D4975"/>
    <w:rsid w:val="005D4BA0"/>
    <w:rsid w:val="005D4ECD"/>
    <w:rsid w:val="005D5B9E"/>
    <w:rsid w:val="005D6A59"/>
    <w:rsid w:val="005D7766"/>
    <w:rsid w:val="005D7F65"/>
    <w:rsid w:val="005D7F8B"/>
    <w:rsid w:val="005E0604"/>
    <w:rsid w:val="005E11B6"/>
    <w:rsid w:val="005E1739"/>
    <w:rsid w:val="005E177A"/>
    <w:rsid w:val="005E1929"/>
    <w:rsid w:val="005E1A45"/>
    <w:rsid w:val="005E21AB"/>
    <w:rsid w:val="005E3458"/>
    <w:rsid w:val="005E384B"/>
    <w:rsid w:val="005E39AA"/>
    <w:rsid w:val="005E410C"/>
    <w:rsid w:val="005E488E"/>
    <w:rsid w:val="005E5658"/>
    <w:rsid w:val="005E586A"/>
    <w:rsid w:val="005E5E52"/>
    <w:rsid w:val="005E6266"/>
    <w:rsid w:val="005E68E6"/>
    <w:rsid w:val="005E6D6B"/>
    <w:rsid w:val="005E772C"/>
    <w:rsid w:val="005E774F"/>
    <w:rsid w:val="005F0214"/>
    <w:rsid w:val="005F0B5F"/>
    <w:rsid w:val="005F1D16"/>
    <w:rsid w:val="005F3879"/>
    <w:rsid w:val="005F3E61"/>
    <w:rsid w:val="005F53A8"/>
    <w:rsid w:val="005F5818"/>
    <w:rsid w:val="005F5FA8"/>
    <w:rsid w:val="005F707D"/>
    <w:rsid w:val="00600FE4"/>
    <w:rsid w:val="00602480"/>
    <w:rsid w:val="00602E37"/>
    <w:rsid w:val="006032D7"/>
    <w:rsid w:val="00603C08"/>
    <w:rsid w:val="006043DA"/>
    <w:rsid w:val="00606BE8"/>
    <w:rsid w:val="006078FC"/>
    <w:rsid w:val="00610A7D"/>
    <w:rsid w:val="00611FFE"/>
    <w:rsid w:val="0061368E"/>
    <w:rsid w:val="00613D1E"/>
    <w:rsid w:val="006151B7"/>
    <w:rsid w:val="00616E21"/>
    <w:rsid w:val="00617031"/>
    <w:rsid w:val="00620C43"/>
    <w:rsid w:val="00620D87"/>
    <w:rsid w:val="00621773"/>
    <w:rsid w:val="00621F27"/>
    <w:rsid w:val="00622494"/>
    <w:rsid w:val="00623008"/>
    <w:rsid w:val="00623CEE"/>
    <w:rsid w:val="00623F08"/>
    <w:rsid w:val="00625456"/>
    <w:rsid w:val="0062609A"/>
    <w:rsid w:val="00626F73"/>
    <w:rsid w:val="00627831"/>
    <w:rsid w:val="00627F8D"/>
    <w:rsid w:val="00630416"/>
    <w:rsid w:val="006307B9"/>
    <w:rsid w:val="00630AF8"/>
    <w:rsid w:val="00631511"/>
    <w:rsid w:val="006323A6"/>
    <w:rsid w:val="006329CB"/>
    <w:rsid w:val="00632C6A"/>
    <w:rsid w:val="00632E7F"/>
    <w:rsid w:val="0063357D"/>
    <w:rsid w:val="0063470B"/>
    <w:rsid w:val="00634B25"/>
    <w:rsid w:val="0063709A"/>
    <w:rsid w:val="006373E6"/>
    <w:rsid w:val="00637F32"/>
    <w:rsid w:val="00642BBB"/>
    <w:rsid w:val="00642FA0"/>
    <w:rsid w:val="006438CE"/>
    <w:rsid w:val="00643923"/>
    <w:rsid w:val="00643E64"/>
    <w:rsid w:val="006447A5"/>
    <w:rsid w:val="006447A7"/>
    <w:rsid w:val="006452B4"/>
    <w:rsid w:val="006469E3"/>
    <w:rsid w:val="00646E8C"/>
    <w:rsid w:val="00647839"/>
    <w:rsid w:val="00651867"/>
    <w:rsid w:val="006529D8"/>
    <w:rsid w:val="00653A4A"/>
    <w:rsid w:val="00653D47"/>
    <w:rsid w:val="00654FDD"/>
    <w:rsid w:val="00655DC5"/>
    <w:rsid w:val="006568F7"/>
    <w:rsid w:val="00656B22"/>
    <w:rsid w:val="00656B96"/>
    <w:rsid w:val="00656CF5"/>
    <w:rsid w:val="00660718"/>
    <w:rsid w:val="00661157"/>
    <w:rsid w:val="00661424"/>
    <w:rsid w:val="0066171C"/>
    <w:rsid w:val="0066298E"/>
    <w:rsid w:val="00664349"/>
    <w:rsid w:val="00664531"/>
    <w:rsid w:val="00664A5E"/>
    <w:rsid w:val="00665BD6"/>
    <w:rsid w:val="00666340"/>
    <w:rsid w:val="00666C18"/>
    <w:rsid w:val="00666CA0"/>
    <w:rsid w:val="00666FBC"/>
    <w:rsid w:val="0066733E"/>
    <w:rsid w:val="00667BA3"/>
    <w:rsid w:val="0067120E"/>
    <w:rsid w:val="0067133D"/>
    <w:rsid w:val="00672FF7"/>
    <w:rsid w:val="00673F75"/>
    <w:rsid w:val="006741A1"/>
    <w:rsid w:val="0067685D"/>
    <w:rsid w:val="00676DD2"/>
    <w:rsid w:val="00677556"/>
    <w:rsid w:val="00677C84"/>
    <w:rsid w:val="00680F70"/>
    <w:rsid w:val="00680FE7"/>
    <w:rsid w:val="006811CB"/>
    <w:rsid w:val="006825FE"/>
    <w:rsid w:val="00682607"/>
    <w:rsid w:val="0068272E"/>
    <w:rsid w:val="006829FA"/>
    <w:rsid w:val="00683818"/>
    <w:rsid w:val="0068445B"/>
    <w:rsid w:val="00684D80"/>
    <w:rsid w:val="00684ED9"/>
    <w:rsid w:val="0068597B"/>
    <w:rsid w:val="00685E18"/>
    <w:rsid w:val="0068634F"/>
    <w:rsid w:val="00686759"/>
    <w:rsid w:val="00686A66"/>
    <w:rsid w:val="0068704C"/>
    <w:rsid w:val="006908E0"/>
    <w:rsid w:val="00691038"/>
    <w:rsid w:val="0069150E"/>
    <w:rsid w:val="006917A4"/>
    <w:rsid w:val="006918DE"/>
    <w:rsid w:val="006919EB"/>
    <w:rsid w:val="00692378"/>
    <w:rsid w:val="00692DAF"/>
    <w:rsid w:val="00692DDE"/>
    <w:rsid w:val="00693557"/>
    <w:rsid w:val="00693680"/>
    <w:rsid w:val="00693E6C"/>
    <w:rsid w:val="006942F7"/>
    <w:rsid w:val="00694A85"/>
    <w:rsid w:val="00694BB5"/>
    <w:rsid w:val="00697254"/>
    <w:rsid w:val="00697934"/>
    <w:rsid w:val="00697FA6"/>
    <w:rsid w:val="006A104F"/>
    <w:rsid w:val="006A170B"/>
    <w:rsid w:val="006A206A"/>
    <w:rsid w:val="006A2D2C"/>
    <w:rsid w:val="006A34D9"/>
    <w:rsid w:val="006A356A"/>
    <w:rsid w:val="006A3851"/>
    <w:rsid w:val="006A484E"/>
    <w:rsid w:val="006A4B81"/>
    <w:rsid w:val="006A52D4"/>
    <w:rsid w:val="006A5AFF"/>
    <w:rsid w:val="006A5CA5"/>
    <w:rsid w:val="006A5E90"/>
    <w:rsid w:val="006A6EC1"/>
    <w:rsid w:val="006B0300"/>
    <w:rsid w:val="006B0F4A"/>
    <w:rsid w:val="006B23DF"/>
    <w:rsid w:val="006B2586"/>
    <w:rsid w:val="006B25C5"/>
    <w:rsid w:val="006B31F0"/>
    <w:rsid w:val="006B38B3"/>
    <w:rsid w:val="006B4272"/>
    <w:rsid w:val="006B467F"/>
    <w:rsid w:val="006B6F18"/>
    <w:rsid w:val="006B724E"/>
    <w:rsid w:val="006C0EBC"/>
    <w:rsid w:val="006C1F5F"/>
    <w:rsid w:val="006C230F"/>
    <w:rsid w:val="006C4249"/>
    <w:rsid w:val="006C570F"/>
    <w:rsid w:val="006C62E7"/>
    <w:rsid w:val="006C631B"/>
    <w:rsid w:val="006C67A1"/>
    <w:rsid w:val="006D0B54"/>
    <w:rsid w:val="006D19CE"/>
    <w:rsid w:val="006D1EE6"/>
    <w:rsid w:val="006D2BDD"/>
    <w:rsid w:val="006D377D"/>
    <w:rsid w:val="006D463E"/>
    <w:rsid w:val="006D6030"/>
    <w:rsid w:val="006D6262"/>
    <w:rsid w:val="006D6758"/>
    <w:rsid w:val="006D7790"/>
    <w:rsid w:val="006D7858"/>
    <w:rsid w:val="006D7B60"/>
    <w:rsid w:val="006D7D8A"/>
    <w:rsid w:val="006D7E10"/>
    <w:rsid w:val="006D7F4C"/>
    <w:rsid w:val="006E0F1B"/>
    <w:rsid w:val="006E0F79"/>
    <w:rsid w:val="006E1743"/>
    <w:rsid w:val="006E1A00"/>
    <w:rsid w:val="006E26AD"/>
    <w:rsid w:val="006E2E0A"/>
    <w:rsid w:val="006E2E80"/>
    <w:rsid w:val="006E40C9"/>
    <w:rsid w:val="006E43CF"/>
    <w:rsid w:val="006E4E59"/>
    <w:rsid w:val="006E52A1"/>
    <w:rsid w:val="006E5439"/>
    <w:rsid w:val="006E5B52"/>
    <w:rsid w:val="006E6CAD"/>
    <w:rsid w:val="006E70C3"/>
    <w:rsid w:val="006F07B9"/>
    <w:rsid w:val="006F2AD7"/>
    <w:rsid w:val="006F3429"/>
    <w:rsid w:val="006F3598"/>
    <w:rsid w:val="006F3C43"/>
    <w:rsid w:val="006F3D0B"/>
    <w:rsid w:val="006F4687"/>
    <w:rsid w:val="006F52BF"/>
    <w:rsid w:val="006F6383"/>
    <w:rsid w:val="006F70D8"/>
    <w:rsid w:val="007008AD"/>
    <w:rsid w:val="007009A1"/>
    <w:rsid w:val="00701F25"/>
    <w:rsid w:val="00702375"/>
    <w:rsid w:val="00702637"/>
    <w:rsid w:val="00702808"/>
    <w:rsid w:val="0070294B"/>
    <w:rsid w:val="00703204"/>
    <w:rsid w:val="007038CF"/>
    <w:rsid w:val="00704360"/>
    <w:rsid w:val="00705417"/>
    <w:rsid w:val="00705E76"/>
    <w:rsid w:val="00706170"/>
    <w:rsid w:val="00706230"/>
    <w:rsid w:val="00706A55"/>
    <w:rsid w:val="00706D3E"/>
    <w:rsid w:val="007070A6"/>
    <w:rsid w:val="00707101"/>
    <w:rsid w:val="0070786D"/>
    <w:rsid w:val="00707AD0"/>
    <w:rsid w:val="00707BFF"/>
    <w:rsid w:val="00711E31"/>
    <w:rsid w:val="00712AD8"/>
    <w:rsid w:val="00713695"/>
    <w:rsid w:val="00713CF1"/>
    <w:rsid w:val="00714EE2"/>
    <w:rsid w:val="00716AA5"/>
    <w:rsid w:val="00716EBA"/>
    <w:rsid w:val="0071735B"/>
    <w:rsid w:val="00717FC6"/>
    <w:rsid w:val="007206D5"/>
    <w:rsid w:val="00722573"/>
    <w:rsid w:val="00723D5C"/>
    <w:rsid w:val="00723F50"/>
    <w:rsid w:val="0072458C"/>
    <w:rsid w:val="007245EA"/>
    <w:rsid w:val="007246C0"/>
    <w:rsid w:val="007255F4"/>
    <w:rsid w:val="00725947"/>
    <w:rsid w:val="00726430"/>
    <w:rsid w:val="00726C40"/>
    <w:rsid w:val="0072754E"/>
    <w:rsid w:val="00730401"/>
    <w:rsid w:val="0073133C"/>
    <w:rsid w:val="00731481"/>
    <w:rsid w:val="007327AA"/>
    <w:rsid w:val="00732B1D"/>
    <w:rsid w:val="0073353C"/>
    <w:rsid w:val="0073366F"/>
    <w:rsid w:val="00734159"/>
    <w:rsid w:val="0073554B"/>
    <w:rsid w:val="00735A0A"/>
    <w:rsid w:val="00736BEE"/>
    <w:rsid w:val="00737144"/>
    <w:rsid w:val="00737146"/>
    <w:rsid w:val="00737877"/>
    <w:rsid w:val="00737CDF"/>
    <w:rsid w:val="0074010A"/>
    <w:rsid w:val="00740948"/>
    <w:rsid w:val="007418B4"/>
    <w:rsid w:val="00742119"/>
    <w:rsid w:val="007424FF"/>
    <w:rsid w:val="007426BD"/>
    <w:rsid w:val="00742985"/>
    <w:rsid w:val="00742B0A"/>
    <w:rsid w:val="00743488"/>
    <w:rsid w:val="00744620"/>
    <w:rsid w:val="007450FE"/>
    <w:rsid w:val="00745155"/>
    <w:rsid w:val="00745671"/>
    <w:rsid w:val="00745EAD"/>
    <w:rsid w:val="00746573"/>
    <w:rsid w:val="00746C0E"/>
    <w:rsid w:val="007477A9"/>
    <w:rsid w:val="00750499"/>
    <w:rsid w:val="007506BD"/>
    <w:rsid w:val="00750830"/>
    <w:rsid w:val="00750BE9"/>
    <w:rsid w:val="007516FC"/>
    <w:rsid w:val="00751727"/>
    <w:rsid w:val="00751AC0"/>
    <w:rsid w:val="00752275"/>
    <w:rsid w:val="0075329A"/>
    <w:rsid w:val="00753BD6"/>
    <w:rsid w:val="00754345"/>
    <w:rsid w:val="00755368"/>
    <w:rsid w:val="00755E91"/>
    <w:rsid w:val="00756D45"/>
    <w:rsid w:val="00756DDD"/>
    <w:rsid w:val="00757650"/>
    <w:rsid w:val="00757F76"/>
    <w:rsid w:val="00760BD9"/>
    <w:rsid w:val="00761837"/>
    <w:rsid w:val="00762C0B"/>
    <w:rsid w:val="007634EA"/>
    <w:rsid w:val="00764A4D"/>
    <w:rsid w:val="00764E37"/>
    <w:rsid w:val="00766082"/>
    <w:rsid w:val="00766575"/>
    <w:rsid w:val="0076676E"/>
    <w:rsid w:val="007668B1"/>
    <w:rsid w:val="00766DA7"/>
    <w:rsid w:val="00766E8F"/>
    <w:rsid w:val="0076724C"/>
    <w:rsid w:val="00767D9C"/>
    <w:rsid w:val="00770EE7"/>
    <w:rsid w:val="00770F05"/>
    <w:rsid w:val="00772DBC"/>
    <w:rsid w:val="00773954"/>
    <w:rsid w:val="007739FF"/>
    <w:rsid w:val="00773E6D"/>
    <w:rsid w:val="0077449B"/>
    <w:rsid w:val="00774813"/>
    <w:rsid w:val="00774978"/>
    <w:rsid w:val="007754DD"/>
    <w:rsid w:val="00775F21"/>
    <w:rsid w:val="00777AEF"/>
    <w:rsid w:val="00780AA8"/>
    <w:rsid w:val="00780D80"/>
    <w:rsid w:val="007811AB"/>
    <w:rsid w:val="00781784"/>
    <w:rsid w:val="00781D1B"/>
    <w:rsid w:val="00781F1C"/>
    <w:rsid w:val="00782C82"/>
    <w:rsid w:val="00782EA5"/>
    <w:rsid w:val="00783283"/>
    <w:rsid w:val="007836B6"/>
    <w:rsid w:val="00783CFD"/>
    <w:rsid w:val="00784192"/>
    <w:rsid w:val="00784B07"/>
    <w:rsid w:val="00784B13"/>
    <w:rsid w:val="00785648"/>
    <w:rsid w:val="0078572B"/>
    <w:rsid w:val="00785922"/>
    <w:rsid w:val="00786746"/>
    <w:rsid w:val="00786981"/>
    <w:rsid w:val="00787796"/>
    <w:rsid w:val="00787BFC"/>
    <w:rsid w:val="00790291"/>
    <w:rsid w:val="00790363"/>
    <w:rsid w:val="0079111C"/>
    <w:rsid w:val="00792300"/>
    <w:rsid w:val="007925AE"/>
    <w:rsid w:val="00792E77"/>
    <w:rsid w:val="00792F43"/>
    <w:rsid w:val="007937B8"/>
    <w:rsid w:val="00793BC1"/>
    <w:rsid w:val="00794007"/>
    <w:rsid w:val="0079503A"/>
    <w:rsid w:val="0079615B"/>
    <w:rsid w:val="00796519"/>
    <w:rsid w:val="007A001A"/>
    <w:rsid w:val="007A042C"/>
    <w:rsid w:val="007A05DD"/>
    <w:rsid w:val="007A1A35"/>
    <w:rsid w:val="007A24DE"/>
    <w:rsid w:val="007A2D3E"/>
    <w:rsid w:val="007A2F9B"/>
    <w:rsid w:val="007A3367"/>
    <w:rsid w:val="007A5100"/>
    <w:rsid w:val="007A5247"/>
    <w:rsid w:val="007A542C"/>
    <w:rsid w:val="007A5ACE"/>
    <w:rsid w:val="007A6B34"/>
    <w:rsid w:val="007A7993"/>
    <w:rsid w:val="007A7F6A"/>
    <w:rsid w:val="007B0027"/>
    <w:rsid w:val="007B02ED"/>
    <w:rsid w:val="007B04F5"/>
    <w:rsid w:val="007B06F5"/>
    <w:rsid w:val="007B1191"/>
    <w:rsid w:val="007B165A"/>
    <w:rsid w:val="007B2688"/>
    <w:rsid w:val="007B3D28"/>
    <w:rsid w:val="007B469D"/>
    <w:rsid w:val="007B5E7A"/>
    <w:rsid w:val="007B7729"/>
    <w:rsid w:val="007B7D5C"/>
    <w:rsid w:val="007C070B"/>
    <w:rsid w:val="007C0820"/>
    <w:rsid w:val="007C08EF"/>
    <w:rsid w:val="007C0BD1"/>
    <w:rsid w:val="007C15B4"/>
    <w:rsid w:val="007C16BA"/>
    <w:rsid w:val="007C199A"/>
    <w:rsid w:val="007C21CB"/>
    <w:rsid w:val="007C2732"/>
    <w:rsid w:val="007C3E76"/>
    <w:rsid w:val="007C40A4"/>
    <w:rsid w:val="007C4626"/>
    <w:rsid w:val="007C4721"/>
    <w:rsid w:val="007C52C3"/>
    <w:rsid w:val="007C6159"/>
    <w:rsid w:val="007C772D"/>
    <w:rsid w:val="007D045E"/>
    <w:rsid w:val="007D2228"/>
    <w:rsid w:val="007D2365"/>
    <w:rsid w:val="007D433D"/>
    <w:rsid w:val="007D5102"/>
    <w:rsid w:val="007D514B"/>
    <w:rsid w:val="007D6221"/>
    <w:rsid w:val="007D653D"/>
    <w:rsid w:val="007D6750"/>
    <w:rsid w:val="007D694F"/>
    <w:rsid w:val="007D78D1"/>
    <w:rsid w:val="007D7E46"/>
    <w:rsid w:val="007E00B3"/>
    <w:rsid w:val="007E17C9"/>
    <w:rsid w:val="007E2EF4"/>
    <w:rsid w:val="007E49E6"/>
    <w:rsid w:val="007E4DBE"/>
    <w:rsid w:val="007E57F9"/>
    <w:rsid w:val="007E5DCB"/>
    <w:rsid w:val="007E6833"/>
    <w:rsid w:val="007E6F6B"/>
    <w:rsid w:val="007E7017"/>
    <w:rsid w:val="007E7F19"/>
    <w:rsid w:val="007E7F64"/>
    <w:rsid w:val="007F056A"/>
    <w:rsid w:val="007F06F6"/>
    <w:rsid w:val="007F152A"/>
    <w:rsid w:val="007F2472"/>
    <w:rsid w:val="007F2891"/>
    <w:rsid w:val="007F3BA8"/>
    <w:rsid w:val="007F53B6"/>
    <w:rsid w:val="007F6CB8"/>
    <w:rsid w:val="007F766D"/>
    <w:rsid w:val="00800082"/>
    <w:rsid w:val="0080031D"/>
    <w:rsid w:val="008003E7"/>
    <w:rsid w:val="008008F0"/>
    <w:rsid w:val="00800BCB"/>
    <w:rsid w:val="00800CA1"/>
    <w:rsid w:val="00800CF1"/>
    <w:rsid w:val="00800E07"/>
    <w:rsid w:val="008027D2"/>
    <w:rsid w:val="00802FF1"/>
    <w:rsid w:val="0080393D"/>
    <w:rsid w:val="00803C04"/>
    <w:rsid w:val="00803C8C"/>
    <w:rsid w:val="00804CC5"/>
    <w:rsid w:val="0080517B"/>
    <w:rsid w:val="0080545C"/>
    <w:rsid w:val="008054DA"/>
    <w:rsid w:val="00807202"/>
    <w:rsid w:val="00810329"/>
    <w:rsid w:val="008115CC"/>
    <w:rsid w:val="00811660"/>
    <w:rsid w:val="0081186C"/>
    <w:rsid w:val="00812D20"/>
    <w:rsid w:val="00814F8E"/>
    <w:rsid w:val="00815633"/>
    <w:rsid w:val="008163D1"/>
    <w:rsid w:val="00816493"/>
    <w:rsid w:val="00816ADC"/>
    <w:rsid w:val="00816ED3"/>
    <w:rsid w:val="008200A5"/>
    <w:rsid w:val="00820B96"/>
    <w:rsid w:val="00821994"/>
    <w:rsid w:val="00821D0F"/>
    <w:rsid w:val="00822817"/>
    <w:rsid w:val="00822AF2"/>
    <w:rsid w:val="008230F0"/>
    <w:rsid w:val="008239BC"/>
    <w:rsid w:val="008244EB"/>
    <w:rsid w:val="00824B72"/>
    <w:rsid w:val="008252E5"/>
    <w:rsid w:val="008259CE"/>
    <w:rsid w:val="00825DE4"/>
    <w:rsid w:val="00825EA5"/>
    <w:rsid w:val="00825EC7"/>
    <w:rsid w:val="00826D6F"/>
    <w:rsid w:val="00827611"/>
    <w:rsid w:val="0083036E"/>
    <w:rsid w:val="008307C1"/>
    <w:rsid w:val="00831609"/>
    <w:rsid w:val="008321F3"/>
    <w:rsid w:val="00833D5E"/>
    <w:rsid w:val="00834F74"/>
    <w:rsid w:val="00834F79"/>
    <w:rsid w:val="0083583A"/>
    <w:rsid w:val="008358B3"/>
    <w:rsid w:val="00835E75"/>
    <w:rsid w:val="00835F7A"/>
    <w:rsid w:val="008361C5"/>
    <w:rsid w:val="00837A41"/>
    <w:rsid w:val="008407C0"/>
    <w:rsid w:val="00841026"/>
    <w:rsid w:val="0084144D"/>
    <w:rsid w:val="008419BC"/>
    <w:rsid w:val="008427EC"/>
    <w:rsid w:val="008433E0"/>
    <w:rsid w:val="00844EBA"/>
    <w:rsid w:val="00845560"/>
    <w:rsid w:val="00845D90"/>
    <w:rsid w:val="00846661"/>
    <w:rsid w:val="00846864"/>
    <w:rsid w:val="00846CE4"/>
    <w:rsid w:val="0084701D"/>
    <w:rsid w:val="00847E0D"/>
    <w:rsid w:val="00850E1C"/>
    <w:rsid w:val="00851C9B"/>
    <w:rsid w:val="008528CF"/>
    <w:rsid w:val="00852E4E"/>
    <w:rsid w:val="00853A5F"/>
    <w:rsid w:val="00853C0F"/>
    <w:rsid w:val="008542A3"/>
    <w:rsid w:val="008557DB"/>
    <w:rsid w:val="00855E3E"/>
    <w:rsid w:val="00856420"/>
    <w:rsid w:val="0085661A"/>
    <w:rsid w:val="008576CC"/>
    <w:rsid w:val="00857D3E"/>
    <w:rsid w:val="008602E9"/>
    <w:rsid w:val="008610E3"/>
    <w:rsid w:val="008621AB"/>
    <w:rsid w:val="008622A6"/>
    <w:rsid w:val="0086254C"/>
    <w:rsid w:val="00862B55"/>
    <w:rsid w:val="00866784"/>
    <w:rsid w:val="00867087"/>
    <w:rsid w:val="00867943"/>
    <w:rsid w:val="008704CD"/>
    <w:rsid w:val="00870E15"/>
    <w:rsid w:val="00871325"/>
    <w:rsid w:val="00871A63"/>
    <w:rsid w:val="00871AE4"/>
    <w:rsid w:val="008731C6"/>
    <w:rsid w:val="0087386D"/>
    <w:rsid w:val="00873D88"/>
    <w:rsid w:val="00874157"/>
    <w:rsid w:val="00874CFB"/>
    <w:rsid w:val="00874FF4"/>
    <w:rsid w:val="00876570"/>
    <w:rsid w:val="00876D83"/>
    <w:rsid w:val="00876DF9"/>
    <w:rsid w:val="00877E7D"/>
    <w:rsid w:val="008813EC"/>
    <w:rsid w:val="00883AAF"/>
    <w:rsid w:val="00883B2C"/>
    <w:rsid w:val="008857A9"/>
    <w:rsid w:val="0088665E"/>
    <w:rsid w:val="00886915"/>
    <w:rsid w:val="00886E1D"/>
    <w:rsid w:val="00887076"/>
    <w:rsid w:val="00887B69"/>
    <w:rsid w:val="00887BF5"/>
    <w:rsid w:val="00887CB5"/>
    <w:rsid w:val="00890ACF"/>
    <w:rsid w:val="00891317"/>
    <w:rsid w:val="00891412"/>
    <w:rsid w:val="00891AAF"/>
    <w:rsid w:val="00891FAD"/>
    <w:rsid w:val="008923C6"/>
    <w:rsid w:val="0089244C"/>
    <w:rsid w:val="00893284"/>
    <w:rsid w:val="0089343B"/>
    <w:rsid w:val="00893725"/>
    <w:rsid w:val="00895341"/>
    <w:rsid w:val="008955BE"/>
    <w:rsid w:val="00895684"/>
    <w:rsid w:val="00895D59"/>
    <w:rsid w:val="00896551"/>
    <w:rsid w:val="00896749"/>
    <w:rsid w:val="008969D0"/>
    <w:rsid w:val="00896B49"/>
    <w:rsid w:val="00897668"/>
    <w:rsid w:val="00897F49"/>
    <w:rsid w:val="008A013A"/>
    <w:rsid w:val="008A0783"/>
    <w:rsid w:val="008A1534"/>
    <w:rsid w:val="008A1A5E"/>
    <w:rsid w:val="008A1FAF"/>
    <w:rsid w:val="008A2B36"/>
    <w:rsid w:val="008A3E67"/>
    <w:rsid w:val="008A45BC"/>
    <w:rsid w:val="008A45D2"/>
    <w:rsid w:val="008A555E"/>
    <w:rsid w:val="008A5E66"/>
    <w:rsid w:val="008A60EE"/>
    <w:rsid w:val="008A693D"/>
    <w:rsid w:val="008A7077"/>
    <w:rsid w:val="008A77FF"/>
    <w:rsid w:val="008B1399"/>
    <w:rsid w:val="008B190F"/>
    <w:rsid w:val="008B1EB0"/>
    <w:rsid w:val="008B31B8"/>
    <w:rsid w:val="008B32AA"/>
    <w:rsid w:val="008B37EE"/>
    <w:rsid w:val="008B4214"/>
    <w:rsid w:val="008B490B"/>
    <w:rsid w:val="008B4E2F"/>
    <w:rsid w:val="008B6F10"/>
    <w:rsid w:val="008B7194"/>
    <w:rsid w:val="008B7310"/>
    <w:rsid w:val="008B79F4"/>
    <w:rsid w:val="008C09CF"/>
    <w:rsid w:val="008C130B"/>
    <w:rsid w:val="008C2690"/>
    <w:rsid w:val="008C2997"/>
    <w:rsid w:val="008C2C21"/>
    <w:rsid w:val="008C32F6"/>
    <w:rsid w:val="008C3954"/>
    <w:rsid w:val="008C3B8B"/>
    <w:rsid w:val="008C5744"/>
    <w:rsid w:val="008C60AD"/>
    <w:rsid w:val="008C62A5"/>
    <w:rsid w:val="008C643A"/>
    <w:rsid w:val="008C6C43"/>
    <w:rsid w:val="008C6D25"/>
    <w:rsid w:val="008C72EA"/>
    <w:rsid w:val="008C791B"/>
    <w:rsid w:val="008D095D"/>
    <w:rsid w:val="008D0DAA"/>
    <w:rsid w:val="008D17A8"/>
    <w:rsid w:val="008D1A6C"/>
    <w:rsid w:val="008D2140"/>
    <w:rsid w:val="008D286F"/>
    <w:rsid w:val="008D2FD0"/>
    <w:rsid w:val="008D31AD"/>
    <w:rsid w:val="008D3410"/>
    <w:rsid w:val="008D3ADE"/>
    <w:rsid w:val="008D4E03"/>
    <w:rsid w:val="008D5796"/>
    <w:rsid w:val="008D7CEE"/>
    <w:rsid w:val="008E0A22"/>
    <w:rsid w:val="008E1666"/>
    <w:rsid w:val="008E1DE4"/>
    <w:rsid w:val="008E2118"/>
    <w:rsid w:val="008E2760"/>
    <w:rsid w:val="008E284F"/>
    <w:rsid w:val="008E2DEC"/>
    <w:rsid w:val="008E3233"/>
    <w:rsid w:val="008E32C7"/>
    <w:rsid w:val="008E3C6F"/>
    <w:rsid w:val="008E4191"/>
    <w:rsid w:val="008E4452"/>
    <w:rsid w:val="008E4B46"/>
    <w:rsid w:val="008E4F8E"/>
    <w:rsid w:val="008E51D6"/>
    <w:rsid w:val="008E6011"/>
    <w:rsid w:val="008E635C"/>
    <w:rsid w:val="008E6426"/>
    <w:rsid w:val="008E6E40"/>
    <w:rsid w:val="008E7387"/>
    <w:rsid w:val="008E7BAD"/>
    <w:rsid w:val="008F05E3"/>
    <w:rsid w:val="008F0D0F"/>
    <w:rsid w:val="008F2A20"/>
    <w:rsid w:val="008F2A31"/>
    <w:rsid w:val="008F2D81"/>
    <w:rsid w:val="008F37BA"/>
    <w:rsid w:val="008F45A3"/>
    <w:rsid w:val="008F61BE"/>
    <w:rsid w:val="008F792D"/>
    <w:rsid w:val="008F7A35"/>
    <w:rsid w:val="008F7BE7"/>
    <w:rsid w:val="009014F4"/>
    <w:rsid w:val="009016D9"/>
    <w:rsid w:val="009020F7"/>
    <w:rsid w:val="00902104"/>
    <w:rsid w:val="00902380"/>
    <w:rsid w:val="009029EE"/>
    <w:rsid w:val="009032A1"/>
    <w:rsid w:val="009034AA"/>
    <w:rsid w:val="00904093"/>
    <w:rsid w:val="00904633"/>
    <w:rsid w:val="00904A68"/>
    <w:rsid w:val="00904CDB"/>
    <w:rsid w:val="0090560C"/>
    <w:rsid w:val="00905679"/>
    <w:rsid w:val="00905D6A"/>
    <w:rsid w:val="00905EFB"/>
    <w:rsid w:val="009069A3"/>
    <w:rsid w:val="00910460"/>
    <w:rsid w:val="009121E5"/>
    <w:rsid w:val="0091259E"/>
    <w:rsid w:val="009148AF"/>
    <w:rsid w:val="00914C0D"/>
    <w:rsid w:val="009151CB"/>
    <w:rsid w:val="00915E26"/>
    <w:rsid w:val="00916AD2"/>
    <w:rsid w:val="00916BA0"/>
    <w:rsid w:val="009171CB"/>
    <w:rsid w:val="009173A9"/>
    <w:rsid w:val="00917576"/>
    <w:rsid w:val="00917736"/>
    <w:rsid w:val="00917876"/>
    <w:rsid w:val="00917F6D"/>
    <w:rsid w:val="009214E4"/>
    <w:rsid w:val="0092230F"/>
    <w:rsid w:val="0092593C"/>
    <w:rsid w:val="00925B62"/>
    <w:rsid w:val="00926605"/>
    <w:rsid w:val="00926E0F"/>
    <w:rsid w:val="00926E77"/>
    <w:rsid w:val="009270C3"/>
    <w:rsid w:val="0092745B"/>
    <w:rsid w:val="009300E0"/>
    <w:rsid w:val="009312DA"/>
    <w:rsid w:val="0093140D"/>
    <w:rsid w:val="009326D5"/>
    <w:rsid w:val="00934113"/>
    <w:rsid w:val="00935059"/>
    <w:rsid w:val="00936716"/>
    <w:rsid w:val="00936C53"/>
    <w:rsid w:val="00936FB5"/>
    <w:rsid w:val="009407CB"/>
    <w:rsid w:val="00940DD4"/>
    <w:rsid w:val="00940E9D"/>
    <w:rsid w:val="00941279"/>
    <w:rsid w:val="00942217"/>
    <w:rsid w:val="00942B8A"/>
    <w:rsid w:val="00942E42"/>
    <w:rsid w:val="00942E6C"/>
    <w:rsid w:val="00944A1B"/>
    <w:rsid w:val="00945C7E"/>
    <w:rsid w:val="00946229"/>
    <w:rsid w:val="00946C2D"/>
    <w:rsid w:val="00947CFE"/>
    <w:rsid w:val="00947F7A"/>
    <w:rsid w:val="00952713"/>
    <w:rsid w:val="00952F89"/>
    <w:rsid w:val="009534D7"/>
    <w:rsid w:val="009536AE"/>
    <w:rsid w:val="00954858"/>
    <w:rsid w:val="00954EBB"/>
    <w:rsid w:val="00955318"/>
    <w:rsid w:val="0095664F"/>
    <w:rsid w:val="00956901"/>
    <w:rsid w:val="00956930"/>
    <w:rsid w:val="00956C1C"/>
    <w:rsid w:val="00957C91"/>
    <w:rsid w:val="00957CF6"/>
    <w:rsid w:val="0096047F"/>
    <w:rsid w:val="0096075F"/>
    <w:rsid w:val="00961143"/>
    <w:rsid w:val="0096148D"/>
    <w:rsid w:val="009621A7"/>
    <w:rsid w:val="00962DFC"/>
    <w:rsid w:val="00963FCE"/>
    <w:rsid w:val="009646B3"/>
    <w:rsid w:val="00964BE2"/>
    <w:rsid w:val="009659EE"/>
    <w:rsid w:val="00966628"/>
    <w:rsid w:val="00966669"/>
    <w:rsid w:val="00967267"/>
    <w:rsid w:val="00967811"/>
    <w:rsid w:val="00967BEA"/>
    <w:rsid w:val="00973961"/>
    <w:rsid w:val="00975FC3"/>
    <w:rsid w:val="0097666A"/>
    <w:rsid w:val="00977975"/>
    <w:rsid w:val="00980194"/>
    <w:rsid w:val="009808E9"/>
    <w:rsid w:val="00980C8C"/>
    <w:rsid w:val="00981C17"/>
    <w:rsid w:val="009822F4"/>
    <w:rsid w:val="009823B7"/>
    <w:rsid w:val="00983F48"/>
    <w:rsid w:val="00983FD5"/>
    <w:rsid w:val="00985C20"/>
    <w:rsid w:val="00985FE9"/>
    <w:rsid w:val="0098721C"/>
    <w:rsid w:val="009878DC"/>
    <w:rsid w:val="00987959"/>
    <w:rsid w:val="00990752"/>
    <w:rsid w:val="00990859"/>
    <w:rsid w:val="00991898"/>
    <w:rsid w:val="009926BB"/>
    <w:rsid w:val="009934B5"/>
    <w:rsid w:val="00993D3B"/>
    <w:rsid w:val="009941D4"/>
    <w:rsid w:val="009950CC"/>
    <w:rsid w:val="00995219"/>
    <w:rsid w:val="00996BE7"/>
    <w:rsid w:val="00996FA3"/>
    <w:rsid w:val="00997006"/>
    <w:rsid w:val="009978A6"/>
    <w:rsid w:val="009979C1"/>
    <w:rsid w:val="009A0798"/>
    <w:rsid w:val="009A07A6"/>
    <w:rsid w:val="009A09D5"/>
    <w:rsid w:val="009A0D34"/>
    <w:rsid w:val="009A112E"/>
    <w:rsid w:val="009A1146"/>
    <w:rsid w:val="009A1491"/>
    <w:rsid w:val="009A1D0B"/>
    <w:rsid w:val="009A3656"/>
    <w:rsid w:val="009A3F13"/>
    <w:rsid w:val="009A40CC"/>
    <w:rsid w:val="009A42BB"/>
    <w:rsid w:val="009A5142"/>
    <w:rsid w:val="009A5550"/>
    <w:rsid w:val="009A6C84"/>
    <w:rsid w:val="009A71A8"/>
    <w:rsid w:val="009B01EE"/>
    <w:rsid w:val="009B09EC"/>
    <w:rsid w:val="009B27BC"/>
    <w:rsid w:val="009B4151"/>
    <w:rsid w:val="009B494A"/>
    <w:rsid w:val="009B5805"/>
    <w:rsid w:val="009B5CF1"/>
    <w:rsid w:val="009C1AFE"/>
    <w:rsid w:val="009C1E00"/>
    <w:rsid w:val="009C288C"/>
    <w:rsid w:val="009C3323"/>
    <w:rsid w:val="009C3B86"/>
    <w:rsid w:val="009C4CD8"/>
    <w:rsid w:val="009C6285"/>
    <w:rsid w:val="009C7E5C"/>
    <w:rsid w:val="009D024F"/>
    <w:rsid w:val="009D0FAF"/>
    <w:rsid w:val="009D22B0"/>
    <w:rsid w:val="009D41E3"/>
    <w:rsid w:val="009D5EB1"/>
    <w:rsid w:val="009D671D"/>
    <w:rsid w:val="009D68CC"/>
    <w:rsid w:val="009D6952"/>
    <w:rsid w:val="009D697A"/>
    <w:rsid w:val="009E1287"/>
    <w:rsid w:val="009E12EC"/>
    <w:rsid w:val="009E1C23"/>
    <w:rsid w:val="009E25E8"/>
    <w:rsid w:val="009E27AF"/>
    <w:rsid w:val="009E2D24"/>
    <w:rsid w:val="009E3BB8"/>
    <w:rsid w:val="009E3C99"/>
    <w:rsid w:val="009E4AC8"/>
    <w:rsid w:val="009E50A2"/>
    <w:rsid w:val="009E5CD2"/>
    <w:rsid w:val="009E641B"/>
    <w:rsid w:val="009E67CC"/>
    <w:rsid w:val="009E6969"/>
    <w:rsid w:val="009E6CE4"/>
    <w:rsid w:val="009E6D25"/>
    <w:rsid w:val="009E6DF7"/>
    <w:rsid w:val="009E7596"/>
    <w:rsid w:val="009E7B1C"/>
    <w:rsid w:val="009E7DE3"/>
    <w:rsid w:val="009F13D8"/>
    <w:rsid w:val="009F1628"/>
    <w:rsid w:val="009F1A84"/>
    <w:rsid w:val="009F222D"/>
    <w:rsid w:val="009F32D8"/>
    <w:rsid w:val="009F3D63"/>
    <w:rsid w:val="009F4091"/>
    <w:rsid w:val="009F467A"/>
    <w:rsid w:val="009F483D"/>
    <w:rsid w:val="009F497E"/>
    <w:rsid w:val="009F63EA"/>
    <w:rsid w:val="009F6F28"/>
    <w:rsid w:val="00A01363"/>
    <w:rsid w:val="00A016E7"/>
    <w:rsid w:val="00A0211F"/>
    <w:rsid w:val="00A02369"/>
    <w:rsid w:val="00A02580"/>
    <w:rsid w:val="00A0294D"/>
    <w:rsid w:val="00A02BC3"/>
    <w:rsid w:val="00A033ED"/>
    <w:rsid w:val="00A05B6A"/>
    <w:rsid w:val="00A05E64"/>
    <w:rsid w:val="00A0603D"/>
    <w:rsid w:val="00A06887"/>
    <w:rsid w:val="00A06F29"/>
    <w:rsid w:val="00A070B2"/>
    <w:rsid w:val="00A0711D"/>
    <w:rsid w:val="00A0714F"/>
    <w:rsid w:val="00A10106"/>
    <w:rsid w:val="00A10246"/>
    <w:rsid w:val="00A10618"/>
    <w:rsid w:val="00A1201F"/>
    <w:rsid w:val="00A1325A"/>
    <w:rsid w:val="00A139EE"/>
    <w:rsid w:val="00A145C8"/>
    <w:rsid w:val="00A16CE7"/>
    <w:rsid w:val="00A201A8"/>
    <w:rsid w:val="00A20BCB"/>
    <w:rsid w:val="00A20EE8"/>
    <w:rsid w:val="00A2129C"/>
    <w:rsid w:val="00A21ECF"/>
    <w:rsid w:val="00A226C9"/>
    <w:rsid w:val="00A22D1E"/>
    <w:rsid w:val="00A2405A"/>
    <w:rsid w:val="00A24F0D"/>
    <w:rsid w:val="00A25527"/>
    <w:rsid w:val="00A25D92"/>
    <w:rsid w:val="00A2620C"/>
    <w:rsid w:val="00A267BA"/>
    <w:rsid w:val="00A26996"/>
    <w:rsid w:val="00A26FEB"/>
    <w:rsid w:val="00A27468"/>
    <w:rsid w:val="00A30115"/>
    <w:rsid w:val="00A30C6F"/>
    <w:rsid w:val="00A31D6D"/>
    <w:rsid w:val="00A3262E"/>
    <w:rsid w:val="00A32CD1"/>
    <w:rsid w:val="00A33E56"/>
    <w:rsid w:val="00A3633C"/>
    <w:rsid w:val="00A4073A"/>
    <w:rsid w:val="00A416DF"/>
    <w:rsid w:val="00A41975"/>
    <w:rsid w:val="00A41D32"/>
    <w:rsid w:val="00A420DC"/>
    <w:rsid w:val="00A42193"/>
    <w:rsid w:val="00A42447"/>
    <w:rsid w:val="00A4421B"/>
    <w:rsid w:val="00A44B05"/>
    <w:rsid w:val="00A454C1"/>
    <w:rsid w:val="00A454F7"/>
    <w:rsid w:val="00A4591E"/>
    <w:rsid w:val="00A461C5"/>
    <w:rsid w:val="00A4631A"/>
    <w:rsid w:val="00A47BAF"/>
    <w:rsid w:val="00A50740"/>
    <w:rsid w:val="00A50841"/>
    <w:rsid w:val="00A5113E"/>
    <w:rsid w:val="00A51B52"/>
    <w:rsid w:val="00A51DB5"/>
    <w:rsid w:val="00A52FCC"/>
    <w:rsid w:val="00A5449D"/>
    <w:rsid w:val="00A5473C"/>
    <w:rsid w:val="00A54E68"/>
    <w:rsid w:val="00A54ECF"/>
    <w:rsid w:val="00A54F22"/>
    <w:rsid w:val="00A5529B"/>
    <w:rsid w:val="00A55E25"/>
    <w:rsid w:val="00A55FF0"/>
    <w:rsid w:val="00A56F37"/>
    <w:rsid w:val="00A6108F"/>
    <w:rsid w:val="00A61857"/>
    <w:rsid w:val="00A61886"/>
    <w:rsid w:val="00A61A5D"/>
    <w:rsid w:val="00A61BAB"/>
    <w:rsid w:val="00A61BF8"/>
    <w:rsid w:val="00A627BC"/>
    <w:rsid w:val="00A6459B"/>
    <w:rsid w:val="00A65997"/>
    <w:rsid w:val="00A65BE8"/>
    <w:rsid w:val="00A66E7D"/>
    <w:rsid w:val="00A703E7"/>
    <w:rsid w:val="00A7085E"/>
    <w:rsid w:val="00A70C25"/>
    <w:rsid w:val="00A710D4"/>
    <w:rsid w:val="00A717B3"/>
    <w:rsid w:val="00A71919"/>
    <w:rsid w:val="00A72231"/>
    <w:rsid w:val="00A72557"/>
    <w:rsid w:val="00A725AB"/>
    <w:rsid w:val="00A72707"/>
    <w:rsid w:val="00A730A9"/>
    <w:rsid w:val="00A7374F"/>
    <w:rsid w:val="00A738DE"/>
    <w:rsid w:val="00A743C3"/>
    <w:rsid w:val="00A746EF"/>
    <w:rsid w:val="00A75188"/>
    <w:rsid w:val="00A75303"/>
    <w:rsid w:val="00A759C0"/>
    <w:rsid w:val="00A75EF6"/>
    <w:rsid w:val="00A767B9"/>
    <w:rsid w:val="00A76A01"/>
    <w:rsid w:val="00A76E28"/>
    <w:rsid w:val="00A80F76"/>
    <w:rsid w:val="00A81E27"/>
    <w:rsid w:val="00A824DE"/>
    <w:rsid w:val="00A8296D"/>
    <w:rsid w:val="00A82B53"/>
    <w:rsid w:val="00A82D4A"/>
    <w:rsid w:val="00A82D5F"/>
    <w:rsid w:val="00A8431D"/>
    <w:rsid w:val="00A867B3"/>
    <w:rsid w:val="00A86F48"/>
    <w:rsid w:val="00A87979"/>
    <w:rsid w:val="00A87E24"/>
    <w:rsid w:val="00A90CEB"/>
    <w:rsid w:val="00A90DB0"/>
    <w:rsid w:val="00A92009"/>
    <w:rsid w:val="00A93323"/>
    <w:rsid w:val="00A93389"/>
    <w:rsid w:val="00A9437F"/>
    <w:rsid w:val="00A94772"/>
    <w:rsid w:val="00A94CE7"/>
    <w:rsid w:val="00A963B4"/>
    <w:rsid w:val="00A974AE"/>
    <w:rsid w:val="00AA1495"/>
    <w:rsid w:val="00AA3C81"/>
    <w:rsid w:val="00AA52D2"/>
    <w:rsid w:val="00AA5A06"/>
    <w:rsid w:val="00AA5E81"/>
    <w:rsid w:val="00AA6997"/>
    <w:rsid w:val="00AA6C66"/>
    <w:rsid w:val="00AA717B"/>
    <w:rsid w:val="00AA79C4"/>
    <w:rsid w:val="00AA7D8A"/>
    <w:rsid w:val="00AA7E4D"/>
    <w:rsid w:val="00AB095D"/>
    <w:rsid w:val="00AB0AF1"/>
    <w:rsid w:val="00AB1824"/>
    <w:rsid w:val="00AB1B23"/>
    <w:rsid w:val="00AB2EDB"/>
    <w:rsid w:val="00AB326E"/>
    <w:rsid w:val="00AB4059"/>
    <w:rsid w:val="00AB484B"/>
    <w:rsid w:val="00AB4B0B"/>
    <w:rsid w:val="00AB5331"/>
    <w:rsid w:val="00AB54E7"/>
    <w:rsid w:val="00AB59BE"/>
    <w:rsid w:val="00AB5E14"/>
    <w:rsid w:val="00AB6265"/>
    <w:rsid w:val="00AB6396"/>
    <w:rsid w:val="00AB6C10"/>
    <w:rsid w:val="00AB7588"/>
    <w:rsid w:val="00AC01FB"/>
    <w:rsid w:val="00AC0510"/>
    <w:rsid w:val="00AC0A44"/>
    <w:rsid w:val="00AC0DB3"/>
    <w:rsid w:val="00AC2A48"/>
    <w:rsid w:val="00AC3463"/>
    <w:rsid w:val="00AC4271"/>
    <w:rsid w:val="00AC6769"/>
    <w:rsid w:val="00AC78C4"/>
    <w:rsid w:val="00AD0FEE"/>
    <w:rsid w:val="00AD13C0"/>
    <w:rsid w:val="00AD2D9F"/>
    <w:rsid w:val="00AD3B5E"/>
    <w:rsid w:val="00AD3C8D"/>
    <w:rsid w:val="00AD4771"/>
    <w:rsid w:val="00AD5325"/>
    <w:rsid w:val="00AD57D9"/>
    <w:rsid w:val="00AD6F77"/>
    <w:rsid w:val="00AE0F6C"/>
    <w:rsid w:val="00AE17CA"/>
    <w:rsid w:val="00AE1C47"/>
    <w:rsid w:val="00AE217E"/>
    <w:rsid w:val="00AE22F3"/>
    <w:rsid w:val="00AE2643"/>
    <w:rsid w:val="00AE2E41"/>
    <w:rsid w:val="00AE4A31"/>
    <w:rsid w:val="00AE4BE5"/>
    <w:rsid w:val="00AE56E1"/>
    <w:rsid w:val="00AE570C"/>
    <w:rsid w:val="00AE66BD"/>
    <w:rsid w:val="00AE7A4D"/>
    <w:rsid w:val="00AE7AFA"/>
    <w:rsid w:val="00AF0B9F"/>
    <w:rsid w:val="00AF157D"/>
    <w:rsid w:val="00AF32B0"/>
    <w:rsid w:val="00AF3396"/>
    <w:rsid w:val="00AF453C"/>
    <w:rsid w:val="00AF54A5"/>
    <w:rsid w:val="00AF5937"/>
    <w:rsid w:val="00AF63BB"/>
    <w:rsid w:val="00AF675D"/>
    <w:rsid w:val="00AF6D9E"/>
    <w:rsid w:val="00AF7B50"/>
    <w:rsid w:val="00AF7C8B"/>
    <w:rsid w:val="00B02A01"/>
    <w:rsid w:val="00B02BAA"/>
    <w:rsid w:val="00B03667"/>
    <w:rsid w:val="00B037CF"/>
    <w:rsid w:val="00B03997"/>
    <w:rsid w:val="00B03D2B"/>
    <w:rsid w:val="00B03F36"/>
    <w:rsid w:val="00B04998"/>
    <w:rsid w:val="00B0528A"/>
    <w:rsid w:val="00B065FB"/>
    <w:rsid w:val="00B10007"/>
    <w:rsid w:val="00B1026A"/>
    <w:rsid w:val="00B10F92"/>
    <w:rsid w:val="00B1145B"/>
    <w:rsid w:val="00B11475"/>
    <w:rsid w:val="00B11BB0"/>
    <w:rsid w:val="00B11DAB"/>
    <w:rsid w:val="00B12213"/>
    <w:rsid w:val="00B1238A"/>
    <w:rsid w:val="00B127DF"/>
    <w:rsid w:val="00B12803"/>
    <w:rsid w:val="00B13105"/>
    <w:rsid w:val="00B13E81"/>
    <w:rsid w:val="00B14D60"/>
    <w:rsid w:val="00B14F75"/>
    <w:rsid w:val="00B164C2"/>
    <w:rsid w:val="00B169AC"/>
    <w:rsid w:val="00B17497"/>
    <w:rsid w:val="00B17C6A"/>
    <w:rsid w:val="00B20408"/>
    <w:rsid w:val="00B2147C"/>
    <w:rsid w:val="00B21759"/>
    <w:rsid w:val="00B21AD5"/>
    <w:rsid w:val="00B22894"/>
    <w:rsid w:val="00B2454F"/>
    <w:rsid w:val="00B24682"/>
    <w:rsid w:val="00B24963"/>
    <w:rsid w:val="00B2520F"/>
    <w:rsid w:val="00B25773"/>
    <w:rsid w:val="00B25849"/>
    <w:rsid w:val="00B263F8"/>
    <w:rsid w:val="00B2729F"/>
    <w:rsid w:val="00B27E71"/>
    <w:rsid w:val="00B30347"/>
    <w:rsid w:val="00B30AEA"/>
    <w:rsid w:val="00B30BEC"/>
    <w:rsid w:val="00B31CF0"/>
    <w:rsid w:val="00B3272B"/>
    <w:rsid w:val="00B333E2"/>
    <w:rsid w:val="00B33B54"/>
    <w:rsid w:val="00B33B6B"/>
    <w:rsid w:val="00B34968"/>
    <w:rsid w:val="00B34A52"/>
    <w:rsid w:val="00B35CB5"/>
    <w:rsid w:val="00B365D7"/>
    <w:rsid w:val="00B3710E"/>
    <w:rsid w:val="00B37638"/>
    <w:rsid w:val="00B3778A"/>
    <w:rsid w:val="00B37B7F"/>
    <w:rsid w:val="00B37F56"/>
    <w:rsid w:val="00B40319"/>
    <w:rsid w:val="00B4048D"/>
    <w:rsid w:val="00B4078E"/>
    <w:rsid w:val="00B40815"/>
    <w:rsid w:val="00B413AD"/>
    <w:rsid w:val="00B413DF"/>
    <w:rsid w:val="00B414A9"/>
    <w:rsid w:val="00B42AD9"/>
    <w:rsid w:val="00B42BAD"/>
    <w:rsid w:val="00B42E52"/>
    <w:rsid w:val="00B4413E"/>
    <w:rsid w:val="00B44524"/>
    <w:rsid w:val="00B4482A"/>
    <w:rsid w:val="00B44898"/>
    <w:rsid w:val="00B4489B"/>
    <w:rsid w:val="00B45476"/>
    <w:rsid w:val="00B46C52"/>
    <w:rsid w:val="00B47414"/>
    <w:rsid w:val="00B47773"/>
    <w:rsid w:val="00B47E82"/>
    <w:rsid w:val="00B47F25"/>
    <w:rsid w:val="00B50E8A"/>
    <w:rsid w:val="00B5173B"/>
    <w:rsid w:val="00B51D0B"/>
    <w:rsid w:val="00B53755"/>
    <w:rsid w:val="00B53DA7"/>
    <w:rsid w:val="00B53FC8"/>
    <w:rsid w:val="00B54165"/>
    <w:rsid w:val="00B5542A"/>
    <w:rsid w:val="00B56D01"/>
    <w:rsid w:val="00B56EEE"/>
    <w:rsid w:val="00B573BF"/>
    <w:rsid w:val="00B60C23"/>
    <w:rsid w:val="00B631EC"/>
    <w:rsid w:val="00B65AAE"/>
    <w:rsid w:val="00B671F5"/>
    <w:rsid w:val="00B674FA"/>
    <w:rsid w:val="00B67875"/>
    <w:rsid w:val="00B6793E"/>
    <w:rsid w:val="00B702E5"/>
    <w:rsid w:val="00B707CA"/>
    <w:rsid w:val="00B70904"/>
    <w:rsid w:val="00B70C4D"/>
    <w:rsid w:val="00B70EE8"/>
    <w:rsid w:val="00B70F3B"/>
    <w:rsid w:val="00B71103"/>
    <w:rsid w:val="00B726FF"/>
    <w:rsid w:val="00B72A1F"/>
    <w:rsid w:val="00B740D4"/>
    <w:rsid w:val="00B747AD"/>
    <w:rsid w:val="00B74908"/>
    <w:rsid w:val="00B74D57"/>
    <w:rsid w:val="00B74E6C"/>
    <w:rsid w:val="00B75C27"/>
    <w:rsid w:val="00B76422"/>
    <w:rsid w:val="00B7680D"/>
    <w:rsid w:val="00B77A10"/>
    <w:rsid w:val="00B77C21"/>
    <w:rsid w:val="00B80892"/>
    <w:rsid w:val="00B81135"/>
    <w:rsid w:val="00B81A40"/>
    <w:rsid w:val="00B8357C"/>
    <w:rsid w:val="00B855A4"/>
    <w:rsid w:val="00B862E1"/>
    <w:rsid w:val="00B86984"/>
    <w:rsid w:val="00B90379"/>
    <w:rsid w:val="00B90C11"/>
    <w:rsid w:val="00B90E3D"/>
    <w:rsid w:val="00B90E44"/>
    <w:rsid w:val="00B91CDD"/>
    <w:rsid w:val="00B91D81"/>
    <w:rsid w:val="00B921FC"/>
    <w:rsid w:val="00B924B8"/>
    <w:rsid w:val="00B93370"/>
    <w:rsid w:val="00B945A9"/>
    <w:rsid w:val="00B949EE"/>
    <w:rsid w:val="00B94BC8"/>
    <w:rsid w:val="00B9527E"/>
    <w:rsid w:val="00B95CE8"/>
    <w:rsid w:val="00B960DA"/>
    <w:rsid w:val="00B973EC"/>
    <w:rsid w:val="00BA0836"/>
    <w:rsid w:val="00BA16A8"/>
    <w:rsid w:val="00BA172E"/>
    <w:rsid w:val="00BA2219"/>
    <w:rsid w:val="00BA28AB"/>
    <w:rsid w:val="00BA2F61"/>
    <w:rsid w:val="00BA4139"/>
    <w:rsid w:val="00BA48CE"/>
    <w:rsid w:val="00BA63C4"/>
    <w:rsid w:val="00BA6A36"/>
    <w:rsid w:val="00BA6FA9"/>
    <w:rsid w:val="00BA74A1"/>
    <w:rsid w:val="00BA7BB5"/>
    <w:rsid w:val="00BB1B5D"/>
    <w:rsid w:val="00BB1DF5"/>
    <w:rsid w:val="00BB3AF3"/>
    <w:rsid w:val="00BB3B57"/>
    <w:rsid w:val="00BB3CD2"/>
    <w:rsid w:val="00BB56AF"/>
    <w:rsid w:val="00BB56F1"/>
    <w:rsid w:val="00BB6C59"/>
    <w:rsid w:val="00BB7C4F"/>
    <w:rsid w:val="00BB7EE5"/>
    <w:rsid w:val="00BB7FB0"/>
    <w:rsid w:val="00BC04DB"/>
    <w:rsid w:val="00BC05C8"/>
    <w:rsid w:val="00BC067E"/>
    <w:rsid w:val="00BC0953"/>
    <w:rsid w:val="00BC0C71"/>
    <w:rsid w:val="00BC1222"/>
    <w:rsid w:val="00BC2790"/>
    <w:rsid w:val="00BC2C88"/>
    <w:rsid w:val="00BC3750"/>
    <w:rsid w:val="00BC3D9C"/>
    <w:rsid w:val="00BC5076"/>
    <w:rsid w:val="00BC5A55"/>
    <w:rsid w:val="00BC611A"/>
    <w:rsid w:val="00BC72F7"/>
    <w:rsid w:val="00BC7C56"/>
    <w:rsid w:val="00BD019E"/>
    <w:rsid w:val="00BD0C66"/>
    <w:rsid w:val="00BD0D59"/>
    <w:rsid w:val="00BD1D49"/>
    <w:rsid w:val="00BD2D9A"/>
    <w:rsid w:val="00BD4F17"/>
    <w:rsid w:val="00BD507F"/>
    <w:rsid w:val="00BD5531"/>
    <w:rsid w:val="00BD5A75"/>
    <w:rsid w:val="00BD7335"/>
    <w:rsid w:val="00BD75F3"/>
    <w:rsid w:val="00BE0436"/>
    <w:rsid w:val="00BE08A8"/>
    <w:rsid w:val="00BE0C44"/>
    <w:rsid w:val="00BE10BD"/>
    <w:rsid w:val="00BE1789"/>
    <w:rsid w:val="00BE1C3E"/>
    <w:rsid w:val="00BE1CF6"/>
    <w:rsid w:val="00BE24A5"/>
    <w:rsid w:val="00BE2627"/>
    <w:rsid w:val="00BE2A92"/>
    <w:rsid w:val="00BE2B4D"/>
    <w:rsid w:val="00BE35DD"/>
    <w:rsid w:val="00BE3630"/>
    <w:rsid w:val="00BE4684"/>
    <w:rsid w:val="00BE636E"/>
    <w:rsid w:val="00BE70D4"/>
    <w:rsid w:val="00BE70EB"/>
    <w:rsid w:val="00BE7638"/>
    <w:rsid w:val="00BE796C"/>
    <w:rsid w:val="00BE7FED"/>
    <w:rsid w:val="00BF063C"/>
    <w:rsid w:val="00BF0BA2"/>
    <w:rsid w:val="00BF2D07"/>
    <w:rsid w:val="00BF3216"/>
    <w:rsid w:val="00BF34BA"/>
    <w:rsid w:val="00BF73D4"/>
    <w:rsid w:val="00BF7B00"/>
    <w:rsid w:val="00BF7B4B"/>
    <w:rsid w:val="00C00637"/>
    <w:rsid w:val="00C00676"/>
    <w:rsid w:val="00C0186C"/>
    <w:rsid w:val="00C01E3A"/>
    <w:rsid w:val="00C0238E"/>
    <w:rsid w:val="00C02463"/>
    <w:rsid w:val="00C024F1"/>
    <w:rsid w:val="00C03050"/>
    <w:rsid w:val="00C03252"/>
    <w:rsid w:val="00C03ED5"/>
    <w:rsid w:val="00C04B44"/>
    <w:rsid w:val="00C05237"/>
    <w:rsid w:val="00C061AA"/>
    <w:rsid w:val="00C10A6B"/>
    <w:rsid w:val="00C10EA5"/>
    <w:rsid w:val="00C11084"/>
    <w:rsid w:val="00C12233"/>
    <w:rsid w:val="00C1331D"/>
    <w:rsid w:val="00C15883"/>
    <w:rsid w:val="00C15A88"/>
    <w:rsid w:val="00C15D7B"/>
    <w:rsid w:val="00C1674F"/>
    <w:rsid w:val="00C16BF2"/>
    <w:rsid w:val="00C17B5C"/>
    <w:rsid w:val="00C17F27"/>
    <w:rsid w:val="00C20CA6"/>
    <w:rsid w:val="00C214C4"/>
    <w:rsid w:val="00C22617"/>
    <w:rsid w:val="00C22637"/>
    <w:rsid w:val="00C2323B"/>
    <w:rsid w:val="00C23746"/>
    <w:rsid w:val="00C24157"/>
    <w:rsid w:val="00C24B99"/>
    <w:rsid w:val="00C25D3E"/>
    <w:rsid w:val="00C3081C"/>
    <w:rsid w:val="00C30A18"/>
    <w:rsid w:val="00C31039"/>
    <w:rsid w:val="00C33161"/>
    <w:rsid w:val="00C33227"/>
    <w:rsid w:val="00C33AF5"/>
    <w:rsid w:val="00C33BBE"/>
    <w:rsid w:val="00C33D20"/>
    <w:rsid w:val="00C345AD"/>
    <w:rsid w:val="00C34C8F"/>
    <w:rsid w:val="00C34FA4"/>
    <w:rsid w:val="00C36C5E"/>
    <w:rsid w:val="00C37681"/>
    <w:rsid w:val="00C376B8"/>
    <w:rsid w:val="00C37ACF"/>
    <w:rsid w:val="00C37B77"/>
    <w:rsid w:val="00C401FC"/>
    <w:rsid w:val="00C405EC"/>
    <w:rsid w:val="00C417D2"/>
    <w:rsid w:val="00C42045"/>
    <w:rsid w:val="00C42E6C"/>
    <w:rsid w:val="00C430A7"/>
    <w:rsid w:val="00C43484"/>
    <w:rsid w:val="00C43A69"/>
    <w:rsid w:val="00C452F9"/>
    <w:rsid w:val="00C46A56"/>
    <w:rsid w:val="00C4739B"/>
    <w:rsid w:val="00C474F1"/>
    <w:rsid w:val="00C47C0B"/>
    <w:rsid w:val="00C5007A"/>
    <w:rsid w:val="00C51237"/>
    <w:rsid w:val="00C51261"/>
    <w:rsid w:val="00C51AE6"/>
    <w:rsid w:val="00C51B71"/>
    <w:rsid w:val="00C5212D"/>
    <w:rsid w:val="00C52756"/>
    <w:rsid w:val="00C52D51"/>
    <w:rsid w:val="00C532A3"/>
    <w:rsid w:val="00C54712"/>
    <w:rsid w:val="00C5521C"/>
    <w:rsid w:val="00C55324"/>
    <w:rsid w:val="00C55807"/>
    <w:rsid w:val="00C55930"/>
    <w:rsid w:val="00C567BA"/>
    <w:rsid w:val="00C56AFA"/>
    <w:rsid w:val="00C56DBB"/>
    <w:rsid w:val="00C610D6"/>
    <w:rsid w:val="00C611B4"/>
    <w:rsid w:val="00C618C1"/>
    <w:rsid w:val="00C61D0F"/>
    <w:rsid w:val="00C622E4"/>
    <w:rsid w:val="00C6344E"/>
    <w:rsid w:val="00C6373F"/>
    <w:rsid w:val="00C63A2A"/>
    <w:rsid w:val="00C63D28"/>
    <w:rsid w:val="00C654ED"/>
    <w:rsid w:val="00C6576B"/>
    <w:rsid w:val="00C65F34"/>
    <w:rsid w:val="00C665A6"/>
    <w:rsid w:val="00C668EB"/>
    <w:rsid w:val="00C66AA1"/>
    <w:rsid w:val="00C6706D"/>
    <w:rsid w:val="00C676A9"/>
    <w:rsid w:val="00C703B5"/>
    <w:rsid w:val="00C714CE"/>
    <w:rsid w:val="00C71CF2"/>
    <w:rsid w:val="00C72119"/>
    <w:rsid w:val="00C7354E"/>
    <w:rsid w:val="00C73923"/>
    <w:rsid w:val="00C7404F"/>
    <w:rsid w:val="00C7435C"/>
    <w:rsid w:val="00C746A1"/>
    <w:rsid w:val="00C746C4"/>
    <w:rsid w:val="00C7510E"/>
    <w:rsid w:val="00C75862"/>
    <w:rsid w:val="00C765AC"/>
    <w:rsid w:val="00C76980"/>
    <w:rsid w:val="00C779F6"/>
    <w:rsid w:val="00C8170F"/>
    <w:rsid w:val="00C82228"/>
    <w:rsid w:val="00C84934"/>
    <w:rsid w:val="00C84DC4"/>
    <w:rsid w:val="00C85363"/>
    <w:rsid w:val="00C85FC9"/>
    <w:rsid w:val="00C87153"/>
    <w:rsid w:val="00C91A0B"/>
    <w:rsid w:val="00C91CB4"/>
    <w:rsid w:val="00C939A1"/>
    <w:rsid w:val="00C96BA4"/>
    <w:rsid w:val="00C96F36"/>
    <w:rsid w:val="00CA03F1"/>
    <w:rsid w:val="00CA068E"/>
    <w:rsid w:val="00CA1006"/>
    <w:rsid w:val="00CA1D89"/>
    <w:rsid w:val="00CA2C58"/>
    <w:rsid w:val="00CA3750"/>
    <w:rsid w:val="00CA442D"/>
    <w:rsid w:val="00CA51E8"/>
    <w:rsid w:val="00CA5B58"/>
    <w:rsid w:val="00CA5FB0"/>
    <w:rsid w:val="00CA63B9"/>
    <w:rsid w:val="00CA671F"/>
    <w:rsid w:val="00CA6958"/>
    <w:rsid w:val="00CB0A3D"/>
    <w:rsid w:val="00CB0CDC"/>
    <w:rsid w:val="00CB11A6"/>
    <w:rsid w:val="00CB1FA4"/>
    <w:rsid w:val="00CB2437"/>
    <w:rsid w:val="00CB255C"/>
    <w:rsid w:val="00CB4AD9"/>
    <w:rsid w:val="00CB4B88"/>
    <w:rsid w:val="00CB51F4"/>
    <w:rsid w:val="00CB522F"/>
    <w:rsid w:val="00CB5806"/>
    <w:rsid w:val="00CB5D93"/>
    <w:rsid w:val="00CB606D"/>
    <w:rsid w:val="00CB6DB1"/>
    <w:rsid w:val="00CB7C65"/>
    <w:rsid w:val="00CC027B"/>
    <w:rsid w:val="00CC164B"/>
    <w:rsid w:val="00CC227B"/>
    <w:rsid w:val="00CC2B1E"/>
    <w:rsid w:val="00CC46E0"/>
    <w:rsid w:val="00CC4DCC"/>
    <w:rsid w:val="00CC4F9A"/>
    <w:rsid w:val="00CC5008"/>
    <w:rsid w:val="00CC53DA"/>
    <w:rsid w:val="00CC598D"/>
    <w:rsid w:val="00CC6179"/>
    <w:rsid w:val="00CC722E"/>
    <w:rsid w:val="00CD289E"/>
    <w:rsid w:val="00CD3317"/>
    <w:rsid w:val="00CD3D91"/>
    <w:rsid w:val="00CD514F"/>
    <w:rsid w:val="00CD5AEB"/>
    <w:rsid w:val="00CD5FEC"/>
    <w:rsid w:val="00CD75FF"/>
    <w:rsid w:val="00CD78F8"/>
    <w:rsid w:val="00CD79E3"/>
    <w:rsid w:val="00CD7EA1"/>
    <w:rsid w:val="00CE0214"/>
    <w:rsid w:val="00CE0231"/>
    <w:rsid w:val="00CE02F6"/>
    <w:rsid w:val="00CE0C39"/>
    <w:rsid w:val="00CE0DCF"/>
    <w:rsid w:val="00CE2368"/>
    <w:rsid w:val="00CE4A24"/>
    <w:rsid w:val="00CE5CFC"/>
    <w:rsid w:val="00CE71EB"/>
    <w:rsid w:val="00CE7307"/>
    <w:rsid w:val="00CE74E9"/>
    <w:rsid w:val="00CE7AD0"/>
    <w:rsid w:val="00CF03C9"/>
    <w:rsid w:val="00CF04CA"/>
    <w:rsid w:val="00CF3DD7"/>
    <w:rsid w:val="00CF3E6C"/>
    <w:rsid w:val="00CF59E3"/>
    <w:rsid w:val="00CF5B9A"/>
    <w:rsid w:val="00CF5E15"/>
    <w:rsid w:val="00CF7948"/>
    <w:rsid w:val="00D006F2"/>
    <w:rsid w:val="00D007A7"/>
    <w:rsid w:val="00D007DB"/>
    <w:rsid w:val="00D01223"/>
    <w:rsid w:val="00D01691"/>
    <w:rsid w:val="00D02718"/>
    <w:rsid w:val="00D0420F"/>
    <w:rsid w:val="00D04338"/>
    <w:rsid w:val="00D04716"/>
    <w:rsid w:val="00D04888"/>
    <w:rsid w:val="00D059FA"/>
    <w:rsid w:val="00D065AA"/>
    <w:rsid w:val="00D06E71"/>
    <w:rsid w:val="00D07D31"/>
    <w:rsid w:val="00D110AD"/>
    <w:rsid w:val="00D113B1"/>
    <w:rsid w:val="00D14B9B"/>
    <w:rsid w:val="00D14CCC"/>
    <w:rsid w:val="00D15096"/>
    <w:rsid w:val="00D1581E"/>
    <w:rsid w:val="00D15B3B"/>
    <w:rsid w:val="00D16629"/>
    <w:rsid w:val="00D16E60"/>
    <w:rsid w:val="00D172D9"/>
    <w:rsid w:val="00D174B2"/>
    <w:rsid w:val="00D17BCC"/>
    <w:rsid w:val="00D17F97"/>
    <w:rsid w:val="00D200B3"/>
    <w:rsid w:val="00D2037E"/>
    <w:rsid w:val="00D2083C"/>
    <w:rsid w:val="00D22350"/>
    <w:rsid w:val="00D22CE9"/>
    <w:rsid w:val="00D2394A"/>
    <w:rsid w:val="00D23BCB"/>
    <w:rsid w:val="00D243D0"/>
    <w:rsid w:val="00D24448"/>
    <w:rsid w:val="00D25031"/>
    <w:rsid w:val="00D250E1"/>
    <w:rsid w:val="00D25210"/>
    <w:rsid w:val="00D252CD"/>
    <w:rsid w:val="00D25465"/>
    <w:rsid w:val="00D2598B"/>
    <w:rsid w:val="00D25E2E"/>
    <w:rsid w:val="00D272EE"/>
    <w:rsid w:val="00D27C23"/>
    <w:rsid w:val="00D3048B"/>
    <w:rsid w:val="00D30FB7"/>
    <w:rsid w:val="00D31923"/>
    <w:rsid w:val="00D31ECC"/>
    <w:rsid w:val="00D32164"/>
    <w:rsid w:val="00D32814"/>
    <w:rsid w:val="00D32F59"/>
    <w:rsid w:val="00D33E3E"/>
    <w:rsid w:val="00D33F0D"/>
    <w:rsid w:val="00D34FD6"/>
    <w:rsid w:val="00D35099"/>
    <w:rsid w:val="00D357EE"/>
    <w:rsid w:val="00D369A7"/>
    <w:rsid w:val="00D40C74"/>
    <w:rsid w:val="00D42508"/>
    <w:rsid w:val="00D42944"/>
    <w:rsid w:val="00D43187"/>
    <w:rsid w:val="00D43A27"/>
    <w:rsid w:val="00D44163"/>
    <w:rsid w:val="00D44C8D"/>
    <w:rsid w:val="00D453E9"/>
    <w:rsid w:val="00D4588B"/>
    <w:rsid w:val="00D45A5E"/>
    <w:rsid w:val="00D45BB9"/>
    <w:rsid w:val="00D4685D"/>
    <w:rsid w:val="00D468C9"/>
    <w:rsid w:val="00D4738D"/>
    <w:rsid w:val="00D5027A"/>
    <w:rsid w:val="00D505C1"/>
    <w:rsid w:val="00D50731"/>
    <w:rsid w:val="00D50849"/>
    <w:rsid w:val="00D50A27"/>
    <w:rsid w:val="00D51108"/>
    <w:rsid w:val="00D51511"/>
    <w:rsid w:val="00D515C1"/>
    <w:rsid w:val="00D52072"/>
    <w:rsid w:val="00D52916"/>
    <w:rsid w:val="00D53986"/>
    <w:rsid w:val="00D54275"/>
    <w:rsid w:val="00D561BF"/>
    <w:rsid w:val="00D57A73"/>
    <w:rsid w:val="00D60072"/>
    <w:rsid w:val="00D60887"/>
    <w:rsid w:val="00D60DE5"/>
    <w:rsid w:val="00D612B6"/>
    <w:rsid w:val="00D61659"/>
    <w:rsid w:val="00D62E3E"/>
    <w:rsid w:val="00D62F26"/>
    <w:rsid w:val="00D63B33"/>
    <w:rsid w:val="00D63F24"/>
    <w:rsid w:val="00D648C0"/>
    <w:rsid w:val="00D6507A"/>
    <w:rsid w:val="00D654F8"/>
    <w:rsid w:val="00D668EA"/>
    <w:rsid w:val="00D66C9A"/>
    <w:rsid w:val="00D66E32"/>
    <w:rsid w:val="00D67429"/>
    <w:rsid w:val="00D67866"/>
    <w:rsid w:val="00D67C18"/>
    <w:rsid w:val="00D67D50"/>
    <w:rsid w:val="00D713B9"/>
    <w:rsid w:val="00D7149E"/>
    <w:rsid w:val="00D72D4F"/>
    <w:rsid w:val="00D73A32"/>
    <w:rsid w:val="00D74169"/>
    <w:rsid w:val="00D7420A"/>
    <w:rsid w:val="00D74CCB"/>
    <w:rsid w:val="00D762BE"/>
    <w:rsid w:val="00D764BE"/>
    <w:rsid w:val="00D76854"/>
    <w:rsid w:val="00D76D23"/>
    <w:rsid w:val="00D7714A"/>
    <w:rsid w:val="00D77802"/>
    <w:rsid w:val="00D77E1B"/>
    <w:rsid w:val="00D803AD"/>
    <w:rsid w:val="00D80BE8"/>
    <w:rsid w:val="00D82085"/>
    <w:rsid w:val="00D82A5E"/>
    <w:rsid w:val="00D82F43"/>
    <w:rsid w:val="00D8363E"/>
    <w:rsid w:val="00D836D4"/>
    <w:rsid w:val="00D83C5C"/>
    <w:rsid w:val="00D84FA3"/>
    <w:rsid w:val="00D8641C"/>
    <w:rsid w:val="00D86CA1"/>
    <w:rsid w:val="00D86EDB"/>
    <w:rsid w:val="00D90287"/>
    <w:rsid w:val="00D90950"/>
    <w:rsid w:val="00D909D4"/>
    <w:rsid w:val="00D918CF"/>
    <w:rsid w:val="00D91F34"/>
    <w:rsid w:val="00D92F32"/>
    <w:rsid w:val="00D9301D"/>
    <w:rsid w:val="00D935EB"/>
    <w:rsid w:val="00D93A7D"/>
    <w:rsid w:val="00D943C3"/>
    <w:rsid w:val="00D94D85"/>
    <w:rsid w:val="00D954EC"/>
    <w:rsid w:val="00D95C29"/>
    <w:rsid w:val="00D960AF"/>
    <w:rsid w:val="00D97032"/>
    <w:rsid w:val="00D97CE5"/>
    <w:rsid w:val="00DA158F"/>
    <w:rsid w:val="00DA28DB"/>
    <w:rsid w:val="00DA2FA8"/>
    <w:rsid w:val="00DA357F"/>
    <w:rsid w:val="00DA39C3"/>
    <w:rsid w:val="00DA45C7"/>
    <w:rsid w:val="00DA4FC6"/>
    <w:rsid w:val="00DA5109"/>
    <w:rsid w:val="00DA51CC"/>
    <w:rsid w:val="00DA71E6"/>
    <w:rsid w:val="00DB0AB4"/>
    <w:rsid w:val="00DB15ED"/>
    <w:rsid w:val="00DB27EC"/>
    <w:rsid w:val="00DB3521"/>
    <w:rsid w:val="00DB4B91"/>
    <w:rsid w:val="00DB5D3D"/>
    <w:rsid w:val="00DB69D2"/>
    <w:rsid w:val="00DB6A03"/>
    <w:rsid w:val="00DB6FBD"/>
    <w:rsid w:val="00DB72FC"/>
    <w:rsid w:val="00DB7486"/>
    <w:rsid w:val="00DB76BD"/>
    <w:rsid w:val="00DB7A4D"/>
    <w:rsid w:val="00DB7D83"/>
    <w:rsid w:val="00DC01C8"/>
    <w:rsid w:val="00DC31D7"/>
    <w:rsid w:val="00DC3A43"/>
    <w:rsid w:val="00DC3DE0"/>
    <w:rsid w:val="00DC4395"/>
    <w:rsid w:val="00DC50DE"/>
    <w:rsid w:val="00DC52EF"/>
    <w:rsid w:val="00DC563B"/>
    <w:rsid w:val="00DC6E52"/>
    <w:rsid w:val="00DC6F8C"/>
    <w:rsid w:val="00DC6F8E"/>
    <w:rsid w:val="00DC7B11"/>
    <w:rsid w:val="00DD0908"/>
    <w:rsid w:val="00DD097D"/>
    <w:rsid w:val="00DD0C33"/>
    <w:rsid w:val="00DD1A5F"/>
    <w:rsid w:val="00DD26A2"/>
    <w:rsid w:val="00DD310D"/>
    <w:rsid w:val="00DD350F"/>
    <w:rsid w:val="00DD4A41"/>
    <w:rsid w:val="00DD4CDA"/>
    <w:rsid w:val="00DD67E6"/>
    <w:rsid w:val="00DD6C82"/>
    <w:rsid w:val="00DD6FC3"/>
    <w:rsid w:val="00DD736E"/>
    <w:rsid w:val="00DD79A3"/>
    <w:rsid w:val="00DE01C1"/>
    <w:rsid w:val="00DE04FC"/>
    <w:rsid w:val="00DE0DA5"/>
    <w:rsid w:val="00DE11B9"/>
    <w:rsid w:val="00DE1CB2"/>
    <w:rsid w:val="00DE319D"/>
    <w:rsid w:val="00DE321E"/>
    <w:rsid w:val="00DE374E"/>
    <w:rsid w:val="00DE41BE"/>
    <w:rsid w:val="00DE41C5"/>
    <w:rsid w:val="00DE4454"/>
    <w:rsid w:val="00DE4D45"/>
    <w:rsid w:val="00DE54DB"/>
    <w:rsid w:val="00DE5BDA"/>
    <w:rsid w:val="00DE5D74"/>
    <w:rsid w:val="00DE5EEE"/>
    <w:rsid w:val="00DE7981"/>
    <w:rsid w:val="00DF1EF7"/>
    <w:rsid w:val="00DF2C4D"/>
    <w:rsid w:val="00DF2DCA"/>
    <w:rsid w:val="00DF3054"/>
    <w:rsid w:val="00DF3BF8"/>
    <w:rsid w:val="00DF454E"/>
    <w:rsid w:val="00DF5007"/>
    <w:rsid w:val="00DF5C83"/>
    <w:rsid w:val="00DF5CF5"/>
    <w:rsid w:val="00DF5D32"/>
    <w:rsid w:val="00DF5D4B"/>
    <w:rsid w:val="00DF5E4A"/>
    <w:rsid w:val="00DF62E2"/>
    <w:rsid w:val="00DF77CF"/>
    <w:rsid w:val="00DF78A8"/>
    <w:rsid w:val="00DF7B0E"/>
    <w:rsid w:val="00E007CE"/>
    <w:rsid w:val="00E00AF3"/>
    <w:rsid w:val="00E0429F"/>
    <w:rsid w:val="00E044CF"/>
    <w:rsid w:val="00E05E71"/>
    <w:rsid w:val="00E06128"/>
    <w:rsid w:val="00E062F8"/>
    <w:rsid w:val="00E06CA6"/>
    <w:rsid w:val="00E07C08"/>
    <w:rsid w:val="00E10131"/>
    <w:rsid w:val="00E101FF"/>
    <w:rsid w:val="00E10526"/>
    <w:rsid w:val="00E1069E"/>
    <w:rsid w:val="00E106A2"/>
    <w:rsid w:val="00E10DEE"/>
    <w:rsid w:val="00E1128D"/>
    <w:rsid w:val="00E12E00"/>
    <w:rsid w:val="00E13492"/>
    <w:rsid w:val="00E135F8"/>
    <w:rsid w:val="00E13D46"/>
    <w:rsid w:val="00E162D5"/>
    <w:rsid w:val="00E16FF1"/>
    <w:rsid w:val="00E1715D"/>
    <w:rsid w:val="00E17EA0"/>
    <w:rsid w:val="00E218FA"/>
    <w:rsid w:val="00E2266B"/>
    <w:rsid w:val="00E25921"/>
    <w:rsid w:val="00E2652C"/>
    <w:rsid w:val="00E26DBB"/>
    <w:rsid w:val="00E27517"/>
    <w:rsid w:val="00E2762C"/>
    <w:rsid w:val="00E3098D"/>
    <w:rsid w:val="00E319B8"/>
    <w:rsid w:val="00E32A7A"/>
    <w:rsid w:val="00E33EC0"/>
    <w:rsid w:val="00E3403B"/>
    <w:rsid w:val="00E344E8"/>
    <w:rsid w:val="00E34B3F"/>
    <w:rsid w:val="00E35752"/>
    <w:rsid w:val="00E3597F"/>
    <w:rsid w:val="00E37562"/>
    <w:rsid w:val="00E37947"/>
    <w:rsid w:val="00E4142F"/>
    <w:rsid w:val="00E414B7"/>
    <w:rsid w:val="00E41D38"/>
    <w:rsid w:val="00E42D18"/>
    <w:rsid w:val="00E43C28"/>
    <w:rsid w:val="00E43D16"/>
    <w:rsid w:val="00E4439F"/>
    <w:rsid w:val="00E44A37"/>
    <w:rsid w:val="00E4500E"/>
    <w:rsid w:val="00E45813"/>
    <w:rsid w:val="00E45C3F"/>
    <w:rsid w:val="00E46310"/>
    <w:rsid w:val="00E46373"/>
    <w:rsid w:val="00E46AE8"/>
    <w:rsid w:val="00E47711"/>
    <w:rsid w:val="00E50197"/>
    <w:rsid w:val="00E505EC"/>
    <w:rsid w:val="00E50903"/>
    <w:rsid w:val="00E54679"/>
    <w:rsid w:val="00E54984"/>
    <w:rsid w:val="00E55A4E"/>
    <w:rsid w:val="00E56E17"/>
    <w:rsid w:val="00E600C3"/>
    <w:rsid w:val="00E609E7"/>
    <w:rsid w:val="00E60C10"/>
    <w:rsid w:val="00E61434"/>
    <w:rsid w:val="00E61B66"/>
    <w:rsid w:val="00E62E0E"/>
    <w:rsid w:val="00E63383"/>
    <w:rsid w:val="00E63DBD"/>
    <w:rsid w:val="00E6407E"/>
    <w:rsid w:val="00E64227"/>
    <w:rsid w:val="00E6690A"/>
    <w:rsid w:val="00E66F3F"/>
    <w:rsid w:val="00E67515"/>
    <w:rsid w:val="00E67A74"/>
    <w:rsid w:val="00E67AB4"/>
    <w:rsid w:val="00E67ECB"/>
    <w:rsid w:val="00E705C4"/>
    <w:rsid w:val="00E70E76"/>
    <w:rsid w:val="00E71315"/>
    <w:rsid w:val="00E71A79"/>
    <w:rsid w:val="00E728C2"/>
    <w:rsid w:val="00E752F6"/>
    <w:rsid w:val="00E753B4"/>
    <w:rsid w:val="00E75AE5"/>
    <w:rsid w:val="00E766EA"/>
    <w:rsid w:val="00E76FA8"/>
    <w:rsid w:val="00E7705A"/>
    <w:rsid w:val="00E775B8"/>
    <w:rsid w:val="00E779DC"/>
    <w:rsid w:val="00E80CD3"/>
    <w:rsid w:val="00E8280F"/>
    <w:rsid w:val="00E83CF8"/>
    <w:rsid w:val="00E847BC"/>
    <w:rsid w:val="00E853C5"/>
    <w:rsid w:val="00E8671F"/>
    <w:rsid w:val="00E86821"/>
    <w:rsid w:val="00E87D47"/>
    <w:rsid w:val="00E87FA1"/>
    <w:rsid w:val="00E9069F"/>
    <w:rsid w:val="00E90859"/>
    <w:rsid w:val="00E90BD0"/>
    <w:rsid w:val="00E90BE9"/>
    <w:rsid w:val="00E92510"/>
    <w:rsid w:val="00E9356B"/>
    <w:rsid w:val="00E935C8"/>
    <w:rsid w:val="00E93A3D"/>
    <w:rsid w:val="00E941C9"/>
    <w:rsid w:val="00E945D7"/>
    <w:rsid w:val="00E9460D"/>
    <w:rsid w:val="00E94F1C"/>
    <w:rsid w:val="00E95E47"/>
    <w:rsid w:val="00E96445"/>
    <w:rsid w:val="00E96E8C"/>
    <w:rsid w:val="00E97D86"/>
    <w:rsid w:val="00E97E63"/>
    <w:rsid w:val="00EA08AE"/>
    <w:rsid w:val="00EA1149"/>
    <w:rsid w:val="00EA1719"/>
    <w:rsid w:val="00EA207F"/>
    <w:rsid w:val="00EA2587"/>
    <w:rsid w:val="00EA2BC2"/>
    <w:rsid w:val="00EA3A90"/>
    <w:rsid w:val="00EA45C1"/>
    <w:rsid w:val="00EA49AB"/>
    <w:rsid w:val="00EA4CF0"/>
    <w:rsid w:val="00EA5743"/>
    <w:rsid w:val="00EA58E2"/>
    <w:rsid w:val="00EA651C"/>
    <w:rsid w:val="00EA6581"/>
    <w:rsid w:val="00EB008B"/>
    <w:rsid w:val="00EB0388"/>
    <w:rsid w:val="00EB12F7"/>
    <w:rsid w:val="00EB189C"/>
    <w:rsid w:val="00EB1D4A"/>
    <w:rsid w:val="00EB24C0"/>
    <w:rsid w:val="00EB3270"/>
    <w:rsid w:val="00EB4C6F"/>
    <w:rsid w:val="00EB5D76"/>
    <w:rsid w:val="00EB6580"/>
    <w:rsid w:val="00EB6A25"/>
    <w:rsid w:val="00EB6FFF"/>
    <w:rsid w:val="00EB7FF0"/>
    <w:rsid w:val="00EC095B"/>
    <w:rsid w:val="00EC1E6B"/>
    <w:rsid w:val="00EC1FF0"/>
    <w:rsid w:val="00EC2539"/>
    <w:rsid w:val="00EC2627"/>
    <w:rsid w:val="00EC44FF"/>
    <w:rsid w:val="00EC4FF4"/>
    <w:rsid w:val="00EC5E68"/>
    <w:rsid w:val="00EC63E5"/>
    <w:rsid w:val="00EC66ED"/>
    <w:rsid w:val="00EC6802"/>
    <w:rsid w:val="00EC6EC3"/>
    <w:rsid w:val="00ED2FE3"/>
    <w:rsid w:val="00ED3D61"/>
    <w:rsid w:val="00ED5604"/>
    <w:rsid w:val="00ED6624"/>
    <w:rsid w:val="00ED6957"/>
    <w:rsid w:val="00ED6A47"/>
    <w:rsid w:val="00EE02AF"/>
    <w:rsid w:val="00EE08EA"/>
    <w:rsid w:val="00EE1361"/>
    <w:rsid w:val="00EE2799"/>
    <w:rsid w:val="00EE3C88"/>
    <w:rsid w:val="00EE5BAC"/>
    <w:rsid w:val="00EE6347"/>
    <w:rsid w:val="00EE6DFB"/>
    <w:rsid w:val="00EF0795"/>
    <w:rsid w:val="00EF2375"/>
    <w:rsid w:val="00EF2461"/>
    <w:rsid w:val="00EF2618"/>
    <w:rsid w:val="00EF28BF"/>
    <w:rsid w:val="00EF37EF"/>
    <w:rsid w:val="00EF497E"/>
    <w:rsid w:val="00EF4ACF"/>
    <w:rsid w:val="00EF724C"/>
    <w:rsid w:val="00F0000C"/>
    <w:rsid w:val="00F017D4"/>
    <w:rsid w:val="00F019E9"/>
    <w:rsid w:val="00F01CD1"/>
    <w:rsid w:val="00F029FB"/>
    <w:rsid w:val="00F02E9A"/>
    <w:rsid w:val="00F033EF"/>
    <w:rsid w:val="00F03480"/>
    <w:rsid w:val="00F0357C"/>
    <w:rsid w:val="00F046B4"/>
    <w:rsid w:val="00F0481A"/>
    <w:rsid w:val="00F062C5"/>
    <w:rsid w:val="00F07AA8"/>
    <w:rsid w:val="00F104AE"/>
    <w:rsid w:val="00F10B05"/>
    <w:rsid w:val="00F10F26"/>
    <w:rsid w:val="00F125C9"/>
    <w:rsid w:val="00F12F73"/>
    <w:rsid w:val="00F13139"/>
    <w:rsid w:val="00F13848"/>
    <w:rsid w:val="00F138BE"/>
    <w:rsid w:val="00F15BA0"/>
    <w:rsid w:val="00F1644E"/>
    <w:rsid w:val="00F1653F"/>
    <w:rsid w:val="00F21121"/>
    <w:rsid w:val="00F2131F"/>
    <w:rsid w:val="00F2181E"/>
    <w:rsid w:val="00F21934"/>
    <w:rsid w:val="00F227CD"/>
    <w:rsid w:val="00F22E50"/>
    <w:rsid w:val="00F24D1E"/>
    <w:rsid w:val="00F252D6"/>
    <w:rsid w:val="00F255AF"/>
    <w:rsid w:val="00F258E1"/>
    <w:rsid w:val="00F27B31"/>
    <w:rsid w:val="00F30EDC"/>
    <w:rsid w:val="00F32534"/>
    <w:rsid w:val="00F329C6"/>
    <w:rsid w:val="00F33F02"/>
    <w:rsid w:val="00F34664"/>
    <w:rsid w:val="00F36FDA"/>
    <w:rsid w:val="00F371E2"/>
    <w:rsid w:val="00F37A0A"/>
    <w:rsid w:val="00F37E62"/>
    <w:rsid w:val="00F40B77"/>
    <w:rsid w:val="00F40C8E"/>
    <w:rsid w:val="00F41504"/>
    <w:rsid w:val="00F415F0"/>
    <w:rsid w:val="00F423B2"/>
    <w:rsid w:val="00F42CA7"/>
    <w:rsid w:val="00F42F5A"/>
    <w:rsid w:val="00F42F8E"/>
    <w:rsid w:val="00F43C67"/>
    <w:rsid w:val="00F447A0"/>
    <w:rsid w:val="00F44A31"/>
    <w:rsid w:val="00F461B5"/>
    <w:rsid w:val="00F467E3"/>
    <w:rsid w:val="00F51AB9"/>
    <w:rsid w:val="00F52661"/>
    <w:rsid w:val="00F528ED"/>
    <w:rsid w:val="00F52DEA"/>
    <w:rsid w:val="00F52E98"/>
    <w:rsid w:val="00F53392"/>
    <w:rsid w:val="00F534F8"/>
    <w:rsid w:val="00F54A2E"/>
    <w:rsid w:val="00F55F11"/>
    <w:rsid w:val="00F55F57"/>
    <w:rsid w:val="00F56083"/>
    <w:rsid w:val="00F561A0"/>
    <w:rsid w:val="00F567DC"/>
    <w:rsid w:val="00F56813"/>
    <w:rsid w:val="00F608E1"/>
    <w:rsid w:val="00F60CD6"/>
    <w:rsid w:val="00F6136B"/>
    <w:rsid w:val="00F61AA6"/>
    <w:rsid w:val="00F61B77"/>
    <w:rsid w:val="00F61F73"/>
    <w:rsid w:val="00F62C99"/>
    <w:rsid w:val="00F6340D"/>
    <w:rsid w:val="00F63D24"/>
    <w:rsid w:val="00F641A6"/>
    <w:rsid w:val="00F64B9D"/>
    <w:rsid w:val="00F6527A"/>
    <w:rsid w:val="00F65C38"/>
    <w:rsid w:val="00F6660F"/>
    <w:rsid w:val="00F67C3C"/>
    <w:rsid w:val="00F70457"/>
    <w:rsid w:val="00F704D0"/>
    <w:rsid w:val="00F7115D"/>
    <w:rsid w:val="00F71FF9"/>
    <w:rsid w:val="00F7231E"/>
    <w:rsid w:val="00F72AD8"/>
    <w:rsid w:val="00F72B93"/>
    <w:rsid w:val="00F72F21"/>
    <w:rsid w:val="00F72F3C"/>
    <w:rsid w:val="00F730EE"/>
    <w:rsid w:val="00F73683"/>
    <w:rsid w:val="00F738E5"/>
    <w:rsid w:val="00F73C4C"/>
    <w:rsid w:val="00F8080B"/>
    <w:rsid w:val="00F80B77"/>
    <w:rsid w:val="00F82350"/>
    <w:rsid w:val="00F835EB"/>
    <w:rsid w:val="00F83F31"/>
    <w:rsid w:val="00F8467B"/>
    <w:rsid w:val="00F84CF3"/>
    <w:rsid w:val="00F851B0"/>
    <w:rsid w:val="00F870BF"/>
    <w:rsid w:val="00F87787"/>
    <w:rsid w:val="00F878EF"/>
    <w:rsid w:val="00F87D03"/>
    <w:rsid w:val="00F90F3B"/>
    <w:rsid w:val="00F91429"/>
    <w:rsid w:val="00F91D12"/>
    <w:rsid w:val="00F926AF"/>
    <w:rsid w:val="00F92DFF"/>
    <w:rsid w:val="00F93681"/>
    <w:rsid w:val="00F93ED6"/>
    <w:rsid w:val="00F94BE2"/>
    <w:rsid w:val="00F95111"/>
    <w:rsid w:val="00F968A5"/>
    <w:rsid w:val="00F96BCE"/>
    <w:rsid w:val="00F97621"/>
    <w:rsid w:val="00FA05F2"/>
    <w:rsid w:val="00FA1049"/>
    <w:rsid w:val="00FA1BF3"/>
    <w:rsid w:val="00FA1D9A"/>
    <w:rsid w:val="00FA46EF"/>
    <w:rsid w:val="00FA54EE"/>
    <w:rsid w:val="00FA5829"/>
    <w:rsid w:val="00FA6984"/>
    <w:rsid w:val="00FA69D0"/>
    <w:rsid w:val="00FA6DA5"/>
    <w:rsid w:val="00FA72AC"/>
    <w:rsid w:val="00FA7657"/>
    <w:rsid w:val="00FA7B4C"/>
    <w:rsid w:val="00FB0E19"/>
    <w:rsid w:val="00FB150D"/>
    <w:rsid w:val="00FB1787"/>
    <w:rsid w:val="00FB1BB2"/>
    <w:rsid w:val="00FB316D"/>
    <w:rsid w:val="00FB4CD3"/>
    <w:rsid w:val="00FB51C6"/>
    <w:rsid w:val="00FB5C2D"/>
    <w:rsid w:val="00FB680E"/>
    <w:rsid w:val="00FB6AE4"/>
    <w:rsid w:val="00FB738A"/>
    <w:rsid w:val="00FC19F9"/>
    <w:rsid w:val="00FC2838"/>
    <w:rsid w:val="00FC4518"/>
    <w:rsid w:val="00FC499C"/>
    <w:rsid w:val="00FC53EF"/>
    <w:rsid w:val="00FC55C2"/>
    <w:rsid w:val="00FC640C"/>
    <w:rsid w:val="00FC6F45"/>
    <w:rsid w:val="00FC7260"/>
    <w:rsid w:val="00FD0FA6"/>
    <w:rsid w:val="00FD2B51"/>
    <w:rsid w:val="00FD32A3"/>
    <w:rsid w:val="00FD3F47"/>
    <w:rsid w:val="00FD4813"/>
    <w:rsid w:val="00FD4C3E"/>
    <w:rsid w:val="00FD4F95"/>
    <w:rsid w:val="00FD5DE1"/>
    <w:rsid w:val="00FD5F45"/>
    <w:rsid w:val="00FD698D"/>
    <w:rsid w:val="00FE080C"/>
    <w:rsid w:val="00FE1260"/>
    <w:rsid w:val="00FE24A5"/>
    <w:rsid w:val="00FE2EDE"/>
    <w:rsid w:val="00FE5133"/>
    <w:rsid w:val="00FE5BA9"/>
    <w:rsid w:val="00FE604A"/>
    <w:rsid w:val="00FE65E4"/>
    <w:rsid w:val="00FE7656"/>
    <w:rsid w:val="00FE7885"/>
    <w:rsid w:val="00FE7ABD"/>
    <w:rsid w:val="00FF076B"/>
    <w:rsid w:val="00FF0B6F"/>
    <w:rsid w:val="00FF0E73"/>
    <w:rsid w:val="00FF1F86"/>
    <w:rsid w:val="00FF2108"/>
    <w:rsid w:val="00FF2469"/>
    <w:rsid w:val="00FF2740"/>
    <w:rsid w:val="00FF298F"/>
    <w:rsid w:val="00FF2F2A"/>
    <w:rsid w:val="00FF347D"/>
    <w:rsid w:val="00FF359E"/>
    <w:rsid w:val="00FF3BC5"/>
    <w:rsid w:val="00FF43F7"/>
    <w:rsid w:val="00FF5269"/>
    <w:rsid w:val="00FF5FF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81442"/>
  <w15:docId w15:val="{6DA7C67B-F3DA-4EAA-9D66-8F3EFF98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hr-H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B0A"/>
  </w:style>
  <w:style w:type="paragraph" w:styleId="Heading1">
    <w:name w:val="heading 1"/>
    <w:basedOn w:val="Normal"/>
    <w:next w:val="Normal"/>
    <w:link w:val="Heading1Char"/>
    <w:uiPriority w:val="9"/>
    <w:qFormat/>
    <w:rsid w:val="00742B0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42B0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42B0A"/>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742B0A"/>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42B0A"/>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42B0A"/>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42B0A"/>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42B0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42B0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zproreda1">
    <w:name w:val="Bez proreda1"/>
    <w:next w:val="NoSpacing"/>
    <w:uiPriority w:val="1"/>
    <w:rsid w:val="00A61A5D"/>
    <w:pPr>
      <w:spacing w:after="0" w:line="240" w:lineRule="auto"/>
    </w:pPr>
  </w:style>
  <w:style w:type="paragraph" w:styleId="NoSpacing">
    <w:name w:val="No Spacing"/>
    <w:uiPriority w:val="1"/>
    <w:qFormat/>
    <w:rsid w:val="00742B0A"/>
    <w:pPr>
      <w:spacing w:after="0" w:line="240" w:lineRule="auto"/>
    </w:pPr>
  </w:style>
  <w:style w:type="paragraph" w:styleId="Header">
    <w:name w:val="header"/>
    <w:basedOn w:val="Normal"/>
    <w:link w:val="HeaderChar"/>
    <w:uiPriority w:val="99"/>
    <w:unhideWhenUsed/>
    <w:rsid w:val="003D4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048"/>
  </w:style>
  <w:style w:type="paragraph" w:styleId="Footer">
    <w:name w:val="footer"/>
    <w:basedOn w:val="Normal"/>
    <w:link w:val="FooterChar"/>
    <w:uiPriority w:val="99"/>
    <w:unhideWhenUsed/>
    <w:rsid w:val="003D4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048"/>
  </w:style>
  <w:style w:type="character" w:styleId="Hyperlink">
    <w:name w:val="Hyperlink"/>
    <w:basedOn w:val="DefaultParagraphFont"/>
    <w:uiPriority w:val="99"/>
    <w:unhideWhenUsed/>
    <w:rsid w:val="003D4048"/>
    <w:rPr>
      <w:color w:val="0563C1" w:themeColor="hyperlink"/>
      <w:u w:val="single"/>
    </w:rPr>
  </w:style>
  <w:style w:type="character" w:customStyle="1" w:styleId="Heading3Char">
    <w:name w:val="Heading 3 Char"/>
    <w:basedOn w:val="DefaultParagraphFont"/>
    <w:link w:val="Heading3"/>
    <w:uiPriority w:val="9"/>
    <w:rsid w:val="00742B0A"/>
    <w:rPr>
      <w:caps/>
      <w:color w:val="1F4D78" w:themeColor="accent1" w:themeShade="7F"/>
      <w:spacing w:val="15"/>
    </w:rPr>
  </w:style>
  <w:style w:type="numbering" w:customStyle="1" w:styleId="Bezpopisa1">
    <w:name w:val="Bez popisa1"/>
    <w:next w:val="NoList"/>
    <w:uiPriority w:val="99"/>
    <w:semiHidden/>
    <w:unhideWhenUsed/>
    <w:rsid w:val="008E7387"/>
  </w:style>
  <w:style w:type="paragraph" w:styleId="FootnoteText">
    <w:name w:val="footnote text"/>
    <w:basedOn w:val="Normal"/>
    <w:link w:val="FootnoteTextChar"/>
    <w:uiPriority w:val="99"/>
    <w:unhideWhenUsed/>
    <w:rsid w:val="008E7387"/>
    <w:pPr>
      <w:spacing w:after="0" w:line="240" w:lineRule="auto"/>
    </w:pPr>
    <w:rPr>
      <w:rFonts w:ascii="Times New Roman" w:eastAsia="Times New Roman" w:hAnsi="Times New Roman" w:cs="Times New Roman"/>
      <w:lang w:eastAsia="hr-HR"/>
    </w:rPr>
  </w:style>
  <w:style w:type="character" w:customStyle="1" w:styleId="FootnoteTextChar">
    <w:name w:val="Footnote Text Char"/>
    <w:basedOn w:val="DefaultParagraphFont"/>
    <w:link w:val="FootnoteText"/>
    <w:uiPriority w:val="99"/>
    <w:rsid w:val="008E7387"/>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8E7387"/>
    <w:rPr>
      <w:vertAlign w:val="superscript"/>
    </w:rPr>
  </w:style>
  <w:style w:type="character" w:styleId="CommentReference">
    <w:name w:val="annotation reference"/>
    <w:basedOn w:val="DefaultParagraphFont"/>
    <w:uiPriority w:val="99"/>
    <w:semiHidden/>
    <w:unhideWhenUsed/>
    <w:rsid w:val="008E7387"/>
    <w:rPr>
      <w:sz w:val="16"/>
      <w:szCs w:val="16"/>
    </w:rPr>
  </w:style>
  <w:style w:type="paragraph" w:styleId="CommentText">
    <w:name w:val="annotation text"/>
    <w:basedOn w:val="Normal"/>
    <w:link w:val="CommentTextChar"/>
    <w:uiPriority w:val="99"/>
    <w:unhideWhenUsed/>
    <w:rsid w:val="008E7387"/>
    <w:pPr>
      <w:spacing w:after="0" w:line="240" w:lineRule="auto"/>
    </w:pPr>
    <w:rPr>
      <w:rFonts w:ascii="Times New Roman" w:eastAsia="Times New Roman" w:hAnsi="Times New Roman" w:cs="Times New Roman"/>
      <w:lang w:eastAsia="hr-HR"/>
    </w:rPr>
  </w:style>
  <w:style w:type="character" w:customStyle="1" w:styleId="CommentTextChar">
    <w:name w:val="Comment Text Char"/>
    <w:basedOn w:val="DefaultParagraphFont"/>
    <w:link w:val="CommentText"/>
    <w:uiPriority w:val="99"/>
    <w:rsid w:val="008E7387"/>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E7387"/>
    <w:rPr>
      <w:b/>
      <w:bCs/>
    </w:rPr>
  </w:style>
  <w:style w:type="character" w:customStyle="1" w:styleId="CommentSubjectChar">
    <w:name w:val="Comment Subject Char"/>
    <w:basedOn w:val="CommentTextChar"/>
    <w:link w:val="CommentSubject"/>
    <w:uiPriority w:val="99"/>
    <w:semiHidden/>
    <w:rsid w:val="008E7387"/>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8E7387"/>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rsid w:val="008E7387"/>
    <w:rPr>
      <w:rFonts w:ascii="Tahoma" w:eastAsia="Times New Roman" w:hAnsi="Tahoma" w:cs="Tahoma"/>
      <w:sz w:val="16"/>
      <w:szCs w:val="16"/>
      <w:lang w:eastAsia="hr-HR"/>
    </w:rPr>
  </w:style>
  <w:style w:type="table" w:styleId="TableGrid">
    <w:name w:val="Table Grid"/>
    <w:basedOn w:val="TableNormal"/>
    <w:uiPriority w:val="39"/>
    <w:rsid w:val="008E7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7387"/>
    <w:rPr>
      <w:color w:val="954F72" w:themeColor="followedHyperlink"/>
      <w:u w:val="single"/>
    </w:rPr>
  </w:style>
  <w:style w:type="paragraph" w:styleId="NormalWeb">
    <w:name w:val="Normal (Web)"/>
    <w:basedOn w:val="Normal"/>
    <w:uiPriority w:val="99"/>
    <w:semiHidden/>
    <w:unhideWhenUsed/>
    <w:rsid w:val="008E7387"/>
    <w:pPr>
      <w:spacing w:after="0"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1"/>
    <w:qFormat/>
    <w:rsid w:val="008E7387"/>
    <w:pPr>
      <w:ind w:left="720"/>
      <w:contextualSpacing/>
    </w:pPr>
  </w:style>
  <w:style w:type="character" w:customStyle="1" w:styleId="Nerijeenospominjanje1">
    <w:name w:val="Neriješeno spominjanje1"/>
    <w:basedOn w:val="DefaultParagraphFont"/>
    <w:uiPriority w:val="99"/>
    <w:semiHidden/>
    <w:unhideWhenUsed/>
    <w:rsid w:val="008E7387"/>
    <w:rPr>
      <w:color w:val="808080"/>
      <w:shd w:val="clear" w:color="auto" w:fill="E6E6E6"/>
    </w:rPr>
  </w:style>
  <w:style w:type="paragraph" w:styleId="Revision">
    <w:name w:val="Revision"/>
    <w:hidden/>
    <w:uiPriority w:val="99"/>
    <w:semiHidden/>
    <w:rsid w:val="008E7387"/>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293122"/>
    <w:pPr>
      <w:spacing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DefaultParagraphFont"/>
    <w:uiPriority w:val="99"/>
    <w:semiHidden/>
    <w:unhideWhenUsed/>
    <w:rsid w:val="002645BC"/>
    <w:rPr>
      <w:color w:val="605E5C"/>
      <w:shd w:val="clear" w:color="auto" w:fill="E1DFDD"/>
    </w:rPr>
  </w:style>
  <w:style w:type="character" w:customStyle="1" w:styleId="Nerijeenospominjanje3">
    <w:name w:val="Neriješeno spominjanje3"/>
    <w:basedOn w:val="DefaultParagraphFont"/>
    <w:uiPriority w:val="99"/>
    <w:semiHidden/>
    <w:unhideWhenUsed/>
    <w:rsid w:val="006E1743"/>
    <w:rPr>
      <w:color w:val="605E5C"/>
      <w:shd w:val="clear" w:color="auto" w:fill="E1DFDD"/>
    </w:rPr>
  </w:style>
  <w:style w:type="character" w:customStyle="1" w:styleId="Nerijeenospominjanje4">
    <w:name w:val="Neriješeno spominjanje4"/>
    <w:basedOn w:val="DefaultParagraphFont"/>
    <w:uiPriority w:val="99"/>
    <w:semiHidden/>
    <w:unhideWhenUsed/>
    <w:rsid w:val="00BB3AF3"/>
    <w:rPr>
      <w:color w:val="808080"/>
      <w:shd w:val="clear" w:color="auto" w:fill="E6E6E6"/>
    </w:rPr>
  </w:style>
  <w:style w:type="table" w:customStyle="1" w:styleId="TableGrid1">
    <w:name w:val="Table Grid1"/>
    <w:basedOn w:val="TableNormal"/>
    <w:next w:val="TableGrid"/>
    <w:uiPriority w:val="39"/>
    <w:rsid w:val="00384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uiPriority w:val="99"/>
    <w:rsid w:val="00A730A9"/>
    <w:pPr>
      <w:spacing w:beforeAutospacing="1" w:after="225" w:line="240" w:lineRule="auto"/>
    </w:pPr>
    <w:rPr>
      <w:rFonts w:ascii="Times New Roman" w:eastAsia="Times New Roman" w:hAnsi="Times New Roman" w:cs="Times New Roman"/>
      <w:sz w:val="24"/>
      <w:szCs w:val="24"/>
      <w:lang w:eastAsia="hr-HR"/>
    </w:rPr>
  </w:style>
  <w:style w:type="numbering" w:customStyle="1" w:styleId="NoList1">
    <w:name w:val="No List1"/>
    <w:next w:val="NoList"/>
    <w:uiPriority w:val="99"/>
    <w:semiHidden/>
    <w:unhideWhenUsed/>
    <w:rsid w:val="00FF2F2A"/>
  </w:style>
  <w:style w:type="numbering" w:customStyle="1" w:styleId="Bezpopisa11">
    <w:name w:val="Bez popisa11"/>
    <w:next w:val="NoList"/>
    <w:uiPriority w:val="99"/>
    <w:semiHidden/>
    <w:unhideWhenUsed/>
    <w:rsid w:val="00FF2F2A"/>
  </w:style>
  <w:style w:type="table" w:customStyle="1" w:styleId="TableGrid3">
    <w:name w:val="Table Grid3"/>
    <w:basedOn w:val="TableNormal"/>
    <w:next w:val="TableGrid"/>
    <w:uiPriority w:val="39"/>
    <w:rsid w:val="00FF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NoList"/>
    <w:uiPriority w:val="99"/>
    <w:semiHidden/>
    <w:unhideWhenUsed/>
    <w:rsid w:val="00354A05"/>
  </w:style>
  <w:style w:type="numbering" w:customStyle="1" w:styleId="Bezpopisa12">
    <w:name w:val="Bez popisa12"/>
    <w:next w:val="NoList"/>
    <w:uiPriority w:val="99"/>
    <w:semiHidden/>
    <w:unhideWhenUsed/>
    <w:rsid w:val="00354A05"/>
  </w:style>
  <w:style w:type="table" w:customStyle="1" w:styleId="Reetkatablice1">
    <w:name w:val="Rešetka tablice1"/>
    <w:basedOn w:val="TableNormal"/>
    <w:next w:val="TableGrid"/>
    <w:uiPriority w:val="39"/>
    <w:rsid w:val="0035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5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5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54A05"/>
  </w:style>
  <w:style w:type="numbering" w:customStyle="1" w:styleId="Bezpopisa111">
    <w:name w:val="Bez popisa111"/>
    <w:next w:val="NoList"/>
    <w:uiPriority w:val="99"/>
    <w:semiHidden/>
    <w:unhideWhenUsed/>
    <w:rsid w:val="00354A05"/>
  </w:style>
  <w:style w:type="table" w:customStyle="1" w:styleId="TableGrid31">
    <w:name w:val="Table Grid31"/>
    <w:basedOn w:val="TableNormal"/>
    <w:next w:val="TableGrid"/>
    <w:uiPriority w:val="39"/>
    <w:rsid w:val="0035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2B0A"/>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742B0A"/>
    <w:rPr>
      <w:caps/>
      <w:spacing w:val="15"/>
      <w:shd w:val="clear" w:color="auto" w:fill="DEEAF6" w:themeFill="accent1" w:themeFillTint="33"/>
    </w:rPr>
  </w:style>
  <w:style w:type="paragraph" w:styleId="TOCHeading">
    <w:name w:val="TOC Heading"/>
    <w:basedOn w:val="Heading1"/>
    <w:next w:val="Normal"/>
    <w:uiPriority w:val="39"/>
    <w:unhideWhenUsed/>
    <w:qFormat/>
    <w:rsid w:val="00742B0A"/>
    <w:pPr>
      <w:outlineLvl w:val="9"/>
    </w:pPr>
  </w:style>
  <w:style w:type="paragraph" w:styleId="TOC1">
    <w:name w:val="toc 1"/>
    <w:basedOn w:val="Normal"/>
    <w:next w:val="Normal"/>
    <w:autoRedefine/>
    <w:uiPriority w:val="39"/>
    <w:unhideWhenUsed/>
    <w:rsid w:val="00347D15"/>
    <w:pPr>
      <w:tabs>
        <w:tab w:val="left" w:pos="440"/>
        <w:tab w:val="right" w:leader="dot" w:pos="9062"/>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1E3D3B"/>
    <w:pPr>
      <w:tabs>
        <w:tab w:val="right" w:leader="dot" w:pos="9062"/>
      </w:tabs>
      <w:spacing w:after="100"/>
      <w:ind w:left="220"/>
    </w:pPr>
    <w:rPr>
      <w:rFonts w:ascii="Times New Roman" w:hAnsi="Times New Roman" w:cs="Times New Roman"/>
      <w:noProof/>
    </w:rPr>
  </w:style>
  <w:style w:type="character" w:customStyle="1" w:styleId="Heading4Char">
    <w:name w:val="Heading 4 Char"/>
    <w:basedOn w:val="DefaultParagraphFont"/>
    <w:link w:val="Heading4"/>
    <w:uiPriority w:val="9"/>
    <w:rsid w:val="00742B0A"/>
    <w:rPr>
      <w:caps/>
      <w:color w:val="2E74B5" w:themeColor="accent1" w:themeShade="BF"/>
      <w:spacing w:val="10"/>
    </w:rPr>
  </w:style>
  <w:style w:type="character" w:customStyle="1" w:styleId="Heading5Char">
    <w:name w:val="Heading 5 Char"/>
    <w:basedOn w:val="DefaultParagraphFont"/>
    <w:link w:val="Heading5"/>
    <w:uiPriority w:val="9"/>
    <w:semiHidden/>
    <w:rsid w:val="00742B0A"/>
    <w:rPr>
      <w:caps/>
      <w:color w:val="2E74B5" w:themeColor="accent1" w:themeShade="BF"/>
      <w:spacing w:val="10"/>
    </w:rPr>
  </w:style>
  <w:style w:type="character" w:customStyle="1" w:styleId="Heading6Char">
    <w:name w:val="Heading 6 Char"/>
    <w:basedOn w:val="DefaultParagraphFont"/>
    <w:link w:val="Heading6"/>
    <w:uiPriority w:val="9"/>
    <w:semiHidden/>
    <w:rsid w:val="00742B0A"/>
    <w:rPr>
      <w:caps/>
      <w:color w:val="2E74B5" w:themeColor="accent1" w:themeShade="BF"/>
      <w:spacing w:val="10"/>
    </w:rPr>
  </w:style>
  <w:style w:type="character" w:customStyle="1" w:styleId="Heading7Char">
    <w:name w:val="Heading 7 Char"/>
    <w:basedOn w:val="DefaultParagraphFont"/>
    <w:link w:val="Heading7"/>
    <w:uiPriority w:val="9"/>
    <w:semiHidden/>
    <w:rsid w:val="00742B0A"/>
    <w:rPr>
      <w:caps/>
      <w:color w:val="2E74B5" w:themeColor="accent1" w:themeShade="BF"/>
      <w:spacing w:val="10"/>
    </w:rPr>
  </w:style>
  <w:style w:type="character" w:customStyle="1" w:styleId="Heading8Char">
    <w:name w:val="Heading 8 Char"/>
    <w:basedOn w:val="DefaultParagraphFont"/>
    <w:link w:val="Heading8"/>
    <w:uiPriority w:val="9"/>
    <w:semiHidden/>
    <w:rsid w:val="00742B0A"/>
    <w:rPr>
      <w:caps/>
      <w:spacing w:val="10"/>
      <w:sz w:val="18"/>
      <w:szCs w:val="18"/>
    </w:rPr>
  </w:style>
  <w:style w:type="character" w:customStyle="1" w:styleId="Heading9Char">
    <w:name w:val="Heading 9 Char"/>
    <w:basedOn w:val="DefaultParagraphFont"/>
    <w:link w:val="Heading9"/>
    <w:uiPriority w:val="9"/>
    <w:semiHidden/>
    <w:rsid w:val="00742B0A"/>
    <w:rPr>
      <w:i/>
      <w:iCs/>
      <w:caps/>
      <w:spacing w:val="10"/>
      <w:sz w:val="18"/>
      <w:szCs w:val="18"/>
    </w:rPr>
  </w:style>
  <w:style w:type="paragraph" w:styleId="Caption">
    <w:name w:val="caption"/>
    <w:basedOn w:val="Normal"/>
    <w:next w:val="Normal"/>
    <w:uiPriority w:val="35"/>
    <w:semiHidden/>
    <w:unhideWhenUsed/>
    <w:qFormat/>
    <w:rsid w:val="00742B0A"/>
    <w:rPr>
      <w:b/>
      <w:bCs/>
      <w:color w:val="2E74B5" w:themeColor="accent1" w:themeShade="BF"/>
      <w:sz w:val="16"/>
      <w:szCs w:val="16"/>
    </w:rPr>
  </w:style>
  <w:style w:type="paragraph" w:styleId="Title">
    <w:name w:val="Title"/>
    <w:basedOn w:val="Normal"/>
    <w:next w:val="Normal"/>
    <w:link w:val="TitleChar"/>
    <w:uiPriority w:val="10"/>
    <w:qFormat/>
    <w:rsid w:val="00742B0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42B0A"/>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42B0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42B0A"/>
    <w:rPr>
      <w:caps/>
      <w:color w:val="595959" w:themeColor="text1" w:themeTint="A6"/>
      <w:spacing w:val="10"/>
      <w:sz w:val="21"/>
      <w:szCs w:val="21"/>
    </w:rPr>
  </w:style>
  <w:style w:type="character" w:styleId="Strong">
    <w:name w:val="Strong"/>
    <w:uiPriority w:val="22"/>
    <w:qFormat/>
    <w:rsid w:val="00742B0A"/>
    <w:rPr>
      <w:b/>
      <w:bCs/>
    </w:rPr>
  </w:style>
  <w:style w:type="character" w:styleId="Emphasis">
    <w:name w:val="Emphasis"/>
    <w:uiPriority w:val="20"/>
    <w:qFormat/>
    <w:rsid w:val="00742B0A"/>
    <w:rPr>
      <w:caps/>
      <w:color w:val="1F4D78" w:themeColor="accent1" w:themeShade="7F"/>
      <w:spacing w:val="5"/>
    </w:rPr>
  </w:style>
  <w:style w:type="paragraph" w:styleId="Quote">
    <w:name w:val="Quote"/>
    <w:basedOn w:val="Normal"/>
    <w:next w:val="Normal"/>
    <w:link w:val="QuoteChar"/>
    <w:uiPriority w:val="29"/>
    <w:qFormat/>
    <w:rsid w:val="00742B0A"/>
    <w:rPr>
      <w:i/>
      <w:iCs/>
      <w:sz w:val="24"/>
      <w:szCs w:val="24"/>
    </w:rPr>
  </w:style>
  <w:style w:type="character" w:customStyle="1" w:styleId="QuoteChar">
    <w:name w:val="Quote Char"/>
    <w:basedOn w:val="DefaultParagraphFont"/>
    <w:link w:val="Quote"/>
    <w:uiPriority w:val="29"/>
    <w:rsid w:val="00742B0A"/>
    <w:rPr>
      <w:i/>
      <w:iCs/>
      <w:sz w:val="24"/>
      <w:szCs w:val="24"/>
    </w:rPr>
  </w:style>
  <w:style w:type="paragraph" w:styleId="IntenseQuote">
    <w:name w:val="Intense Quote"/>
    <w:basedOn w:val="Normal"/>
    <w:next w:val="Normal"/>
    <w:link w:val="IntenseQuoteChar"/>
    <w:uiPriority w:val="30"/>
    <w:qFormat/>
    <w:rsid w:val="00742B0A"/>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42B0A"/>
    <w:rPr>
      <w:color w:val="5B9BD5" w:themeColor="accent1"/>
      <w:sz w:val="24"/>
      <w:szCs w:val="24"/>
    </w:rPr>
  </w:style>
  <w:style w:type="character" w:styleId="SubtleEmphasis">
    <w:name w:val="Subtle Emphasis"/>
    <w:uiPriority w:val="19"/>
    <w:qFormat/>
    <w:rsid w:val="00742B0A"/>
    <w:rPr>
      <w:i/>
      <w:iCs/>
      <w:color w:val="1F4D78" w:themeColor="accent1" w:themeShade="7F"/>
    </w:rPr>
  </w:style>
  <w:style w:type="character" w:styleId="IntenseEmphasis">
    <w:name w:val="Intense Emphasis"/>
    <w:uiPriority w:val="21"/>
    <w:qFormat/>
    <w:rsid w:val="00742B0A"/>
    <w:rPr>
      <w:b/>
      <w:bCs/>
      <w:caps/>
      <w:color w:val="1F4D78" w:themeColor="accent1" w:themeShade="7F"/>
      <w:spacing w:val="10"/>
    </w:rPr>
  </w:style>
  <w:style w:type="character" w:styleId="SubtleReference">
    <w:name w:val="Subtle Reference"/>
    <w:uiPriority w:val="31"/>
    <w:qFormat/>
    <w:rsid w:val="00742B0A"/>
    <w:rPr>
      <w:b/>
      <w:bCs/>
      <w:color w:val="5B9BD5" w:themeColor="accent1"/>
    </w:rPr>
  </w:style>
  <w:style w:type="character" w:styleId="IntenseReference">
    <w:name w:val="Intense Reference"/>
    <w:uiPriority w:val="32"/>
    <w:qFormat/>
    <w:rsid w:val="00742B0A"/>
    <w:rPr>
      <w:b/>
      <w:bCs/>
      <w:i/>
      <w:iCs/>
      <w:caps/>
      <w:color w:val="5B9BD5" w:themeColor="accent1"/>
    </w:rPr>
  </w:style>
  <w:style w:type="character" w:styleId="BookTitle">
    <w:name w:val="Book Title"/>
    <w:uiPriority w:val="33"/>
    <w:qFormat/>
    <w:rsid w:val="00742B0A"/>
    <w:rPr>
      <w:b/>
      <w:bCs/>
      <w:i/>
      <w:iCs/>
      <w:spacing w:val="0"/>
    </w:rPr>
  </w:style>
  <w:style w:type="paragraph" w:styleId="TOC3">
    <w:name w:val="toc 3"/>
    <w:basedOn w:val="Normal"/>
    <w:next w:val="Normal"/>
    <w:autoRedefine/>
    <w:uiPriority w:val="39"/>
    <w:unhideWhenUsed/>
    <w:rsid w:val="00AB6265"/>
    <w:pPr>
      <w:spacing w:before="0" w:after="100" w:line="259" w:lineRule="auto"/>
      <w:ind w:left="440"/>
    </w:pPr>
    <w:rPr>
      <w:rFonts w:cs="Times New Roman"/>
      <w:sz w:val="22"/>
      <w:szCs w:val="22"/>
      <w:lang w:val="en-US"/>
    </w:rPr>
  </w:style>
  <w:style w:type="table" w:styleId="ListTable5Dark-Accent1">
    <w:name w:val="List Table 5 Dark Accent 1"/>
    <w:basedOn w:val="TableNormal"/>
    <w:uiPriority w:val="50"/>
    <w:rsid w:val="00CA5B5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A5B5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1">
    <w:name w:val="Grid Table 5 Dark Accent 1"/>
    <w:basedOn w:val="TableNormal"/>
    <w:uiPriority w:val="50"/>
    <w:rsid w:val="00CA5B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1Light-Accent1">
    <w:name w:val="List Table 1 Light Accent 1"/>
    <w:basedOn w:val="TableNormal"/>
    <w:uiPriority w:val="46"/>
    <w:rsid w:val="00CA5B5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CA5B5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2E789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28777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8777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0688">
      <w:bodyDiv w:val="1"/>
      <w:marLeft w:val="0"/>
      <w:marRight w:val="0"/>
      <w:marTop w:val="0"/>
      <w:marBottom w:val="0"/>
      <w:divBdr>
        <w:top w:val="none" w:sz="0" w:space="0" w:color="auto"/>
        <w:left w:val="none" w:sz="0" w:space="0" w:color="auto"/>
        <w:bottom w:val="none" w:sz="0" w:space="0" w:color="auto"/>
        <w:right w:val="none" w:sz="0" w:space="0" w:color="auto"/>
      </w:divBdr>
    </w:div>
    <w:div w:id="169686011">
      <w:bodyDiv w:val="1"/>
      <w:marLeft w:val="0"/>
      <w:marRight w:val="0"/>
      <w:marTop w:val="0"/>
      <w:marBottom w:val="0"/>
      <w:divBdr>
        <w:top w:val="none" w:sz="0" w:space="0" w:color="auto"/>
        <w:left w:val="none" w:sz="0" w:space="0" w:color="auto"/>
        <w:bottom w:val="none" w:sz="0" w:space="0" w:color="auto"/>
        <w:right w:val="none" w:sz="0" w:space="0" w:color="auto"/>
      </w:divBdr>
    </w:div>
    <w:div w:id="332613231">
      <w:bodyDiv w:val="1"/>
      <w:marLeft w:val="0"/>
      <w:marRight w:val="0"/>
      <w:marTop w:val="0"/>
      <w:marBottom w:val="0"/>
      <w:divBdr>
        <w:top w:val="none" w:sz="0" w:space="0" w:color="auto"/>
        <w:left w:val="none" w:sz="0" w:space="0" w:color="auto"/>
        <w:bottom w:val="none" w:sz="0" w:space="0" w:color="auto"/>
        <w:right w:val="none" w:sz="0" w:space="0" w:color="auto"/>
      </w:divBdr>
    </w:div>
    <w:div w:id="436291744">
      <w:bodyDiv w:val="1"/>
      <w:marLeft w:val="0"/>
      <w:marRight w:val="0"/>
      <w:marTop w:val="0"/>
      <w:marBottom w:val="0"/>
      <w:divBdr>
        <w:top w:val="none" w:sz="0" w:space="0" w:color="auto"/>
        <w:left w:val="none" w:sz="0" w:space="0" w:color="auto"/>
        <w:bottom w:val="none" w:sz="0" w:space="0" w:color="auto"/>
        <w:right w:val="none" w:sz="0" w:space="0" w:color="auto"/>
      </w:divBdr>
    </w:div>
    <w:div w:id="504781769">
      <w:bodyDiv w:val="1"/>
      <w:marLeft w:val="0"/>
      <w:marRight w:val="0"/>
      <w:marTop w:val="0"/>
      <w:marBottom w:val="0"/>
      <w:divBdr>
        <w:top w:val="none" w:sz="0" w:space="0" w:color="auto"/>
        <w:left w:val="none" w:sz="0" w:space="0" w:color="auto"/>
        <w:bottom w:val="none" w:sz="0" w:space="0" w:color="auto"/>
        <w:right w:val="none" w:sz="0" w:space="0" w:color="auto"/>
      </w:divBdr>
    </w:div>
    <w:div w:id="721291415">
      <w:bodyDiv w:val="1"/>
      <w:marLeft w:val="0"/>
      <w:marRight w:val="0"/>
      <w:marTop w:val="0"/>
      <w:marBottom w:val="0"/>
      <w:divBdr>
        <w:top w:val="none" w:sz="0" w:space="0" w:color="auto"/>
        <w:left w:val="none" w:sz="0" w:space="0" w:color="auto"/>
        <w:bottom w:val="none" w:sz="0" w:space="0" w:color="auto"/>
        <w:right w:val="none" w:sz="0" w:space="0" w:color="auto"/>
      </w:divBdr>
    </w:div>
    <w:div w:id="734201487">
      <w:bodyDiv w:val="1"/>
      <w:marLeft w:val="0"/>
      <w:marRight w:val="0"/>
      <w:marTop w:val="0"/>
      <w:marBottom w:val="0"/>
      <w:divBdr>
        <w:top w:val="none" w:sz="0" w:space="0" w:color="auto"/>
        <w:left w:val="none" w:sz="0" w:space="0" w:color="auto"/>
        <w:bottom w:val="none" w:sz="0" w:space="0" w:color="auto"/>
        <w:right w:val="none" w:sz="0" w:space="0" w:color="auto"/>
      </w:divBdr>
    </w:div>
    <w:div w:id="758062178">
      <w:bodyDiv w:val="1"/>
      <w:marLeft w:val="0"/>
      <w:marRight w:val="0"/>
      <w:marTop w:val="0"/>
      <w:marBottom w:val="0"/>
      <w:divBdr>
        <w:top w:val="none" w:sz="0" w:space="0" w:color="auto"/>
        <w:left w:val="none" w:sz="0" w:space="0" w:color="auto"/>
        <w:bottom w:val="none" w:sz="0" w:space="0" w:color="auto"/>
        <w:right w:val="none" w:sz="0" w:space="0" w:color="auto"/>
      </w:divBdr>
    </w:div>
    <w:div w:id="799147090">
      <w:bodyDiv w:val="1"/>
      <w:marLeft w:val="0"/>
      <w:marRight w:val="0"/>
      <w:marTop w:val="0"/>
      <w:marBottom w:val="0"/>
      <w:divBdr>
        <w:top w:val="none" w:sz="0" w:space="0" w:color="auto"/>
        <w:left w:val="none" w:sz="0" w:space="0" w:color="auto"/>
        <w:bottom w:val="none" w:sz="0" w:space="0" w:color="auto"/>
        <w:right w:val="none" w:sz="0" w:space="0" w:color="auto"/>
      </w:divBdr>
    </w:div>
    <w:div w:id="925041548">
      <w:bodyDiv w:val="1"/>
      <w:marLeft w:val="0"/>
      <w:marRight w:val="0"/>
      <w:marTop w:val="0"/>
      <w:marBottom w:val="0"/>
      <w:divBdr>
        <w:top w:val="none" w:sz="0" w:space="0" w:color="auto"/>
        <w:left w:val="none" w:sz="0" w:space="0" w:color="auto"/>
        <w:bottom w:val="none" w:sz="0" w:space="0" w:color="auto"/>
        <w:right w:val="none" w:sz="0" w:space="0" w:color="auto"/>
      </w:divBdr>
    </w:div>
    <w:div w:id="979767083">
      <w:bodyDiv w:val="1"/>
      <w:marLeft w:val="0"/>
      <w:marRight w:val="0"/>
      <w:marTop w:val="0"/>
      <w:marBottom w:val="0"/>
      <w:divBdr>
        <w:top w:val="none" w:sz="0" w:space="0" w:color="auto"/>
        <w:left w:val="none" w:sz="0" w:space="0" w:color="auto"/>
        <w:bottom w:val="none" w:sz="0" w:space="0" w:color="auto"/>
        <w:right w:val="none" w:sz="0" w:space="0" w:color="auto"/>
      </w:divBdr>
    </w:div>
    <w:div w:id="1091854815">
      <w:bodyDiv w:val="1"/>
      <w:marLeft w:val="0"/>
      <w:marRight w:val="0"/>
      <w:marTop w:val="0"/>
      <w:marBottom w:val="0"/>
      <w:divBdr>
        <w:top w:val="none" w:sz="0" w:space="0" w:color="auto"/>
        <w:left w:val="none" w:sz="0" w:space="0" w:color="auto"/>
        <w:bottom w:val="none" w:sz="0" w:space="0" w:color="auto"/>
        <w:right w:val="none" w:sz="0" w:space="0" w:color="auto"/>
      </w:divBdr>
    </w:div>
    <w:div w:id="1153060046">
      <w:bodyDiv w:val="1"/>
      <w:marLeft w:val="0"/>
      <w:marRight w:val="0"/>
      <w:marTop w:val="0"/>
      <w:marBottom w:val="0"/>
      <w:divBdr>
        <w:top w:val="none" w:sz="0" w:space="0" w:color="auto"/>
        <w:left w:val="none" w:sz="0" w:space="0" w:color="auto"/>
        <w:bottom w:val="none" w:sz="0" w:space="0" w:color="auto"/>
        <w:right w:val="none" w:sz="0" w:space="0" w:color="auto"/>
      </w:divBdr>
    </w:div>
    <w:div w:id="1300725037">
      <w:bodyDiv w:val="1"/>
      <w:marLeft w:val="0"/>
      <w:marRight w:val="0"/>
      <w:marTop w:val="0"/>
      <w:marBottom w:val="0"/>
      <w:divBdr>
        <w:top w:val="none" w:sz="0" w:space="0" w:color="auto"/>
        <w:left w:val="none" w:sz="0" w:space="0" w:color="auto"/>
        <w:bottom w:val="none" w:sz="0" w:space="0" w:color="auto"/>
        <w:right w:val="none" w:sz="0" w:space="0" w:color="auto"/>
      </w:divBdr>
    </w:div>
    <w:div w:id="1322082505">
      <w:bodyDiv w:val="1"/>
      <w:marLeft w:val="0"/>
      <w:marRight w:val="0"/>
      <w:marTop w:val="0"/>
      <w:marBottom w:val="0"/>
      <w:divBdr>
        <w:top w:val="none" w:sz="0" w:space="0" w:color="auto"/>
        <w:left w:val="none" w:sz="0" w:space="0" w:color="auto"/>
        <w:bottom w:val="none" w:sz="0" w:space="0" w:color="auto"/>
        <w:right w:val="none" w:sz="0" w:space="0" w:color="auto"/>
      </w:divBdr>
    </w:div>
    <w:div w:id="1468476250">
      <w:bodyDiv w:val="1"/>
      <w:marLeft w:val="0"/>
      <w:marRight w:val="0"/>
      <w:marTop w:val="0"/>
      <w:marBottom w:val="0"/>
      <w:divBdr>
        <w:top w:val="none" w:sz="0" w:space="0" w:color="auto"/>
        <w:left w:val="none" w:sz="0" w:space="0" w:color="auto"/>
        <w:bottom w:val="none" w:sz="0" w:space="0" w:color="auto"/>
        <w:right w:val="none" w:sz="0" w:space="0" w:color="auto"/>
      </w:divBdr>
    </w:div>
    <w:div w:id="1565485239">
      <w:bodyDiv w:val="1"/>
      <w:marLeft w:val="0"/>
      <w:marRight w:val="0"/>
      <w:marTop w:val="0"/>
      <w:marBottom w:val="0"/>
      <w:divBdr>
        <w:top w:val="none" w:sz="0" w:space="0" w:color="auto"/>
        <w:left w:val="none" w:sz="0" w:space="0" w:color="auto"/>
        <w:bottom w:val="none" w:sz="0" w:space="0" w:color="auto"/>
        <w:right w:val="none" w:sz="0" w:space="0" w:color="auto"/>
      </w:divBdr>
    </w:div>
    <w:div w:id="1664158024">
      <w:bodyDiv w:val="1"/>
      <w:marLeft w:val="0"/>
      <w:marRight w:val="0"/>
      <w:marTop w:val="0"/>
      <w:marBottom w:val="0"/>
      <w:divBdr>
        <w:top w:val="none" w:sz="0" w:space="0" w:color="auto"/>
        <w:left w:val="none" w:sz="0" w:space="0" w:color="auto"/>
        <w:bottom w:val="none" w:sz="0" w:space="0" w:color="auto"/>
        <w:right w:val="none" w:sz="0" w:space="0" w:color="auto"/>
      </w:divBdr>
    </w:div>
    <w:div w:id="1708489673">
      <w:bodyDiv w:val="1"/>
      <w:marLeft w:val="0"/>
      <w:marRight w:val="0"/>
      <w:marTop w:val="0"/>
      <w:marBottom w:val="0"/>
      <w:divBdr>
        <w:top w:val="none" w:sz="0" w:space="0" w:color="auto"/>
        <w:left w:val="none" w:sz="0" w:space="0" w:color="auto"/>
        <w:bottom w:val="none" w:sz="0" w:space="0" w:color="auto"/>
        <w:right w:val="none" w:sz="0" w:space="0" w:color="auto"/>
      </w:divBdr>
    </w:div>
    <w:div w:id="1717511876">
      <w:bodyDiv w:val="1"/>
      <w:marLeft w:val="0"/>
      <w:marRight w:val="0"/>
      <w:marTop w:val="0"/>
      <w:marBottom w:val="0"/>
      <w:divBdr>
        <w:top w:val="none" w:sz="0" w:space="0" w:color="auto"/>
        <w:left w:val="none" w:sz="0" w:space="0" w:color="auto"/>
        <w:bottom w:val="none" w:sz="0" w:space="0" w:color="auto"/>
        <w:right w:val="none" w:sz="0" w:space="0" w:color="auto"/>
      </w:divBdr>
    </w:div>
    <w:div w:id="1766924246">
      <w:bodyDiv w:val="1"/>
      <w:marLeft w:val="0"/>
      <w:marRight w:val="0"/>
      <w:marTop w:val="0"/>
      <w:marBottom w:val="0"/>
      <w:divBdr>
        <w:top w:val="none" w:sz="0" w:space="0" w:color="auto"/>
        <w:left w:val="none" w:sz="0" w:space="0" w:color="auto"/>
        <w:bottom w:val="none" w:sz="0" w:space="0" w:color="auto"/>
        <w:right w:val="none" w:sz="0" w:space="0" w:color="auto"/>
      </w:divBdr>
    </w:div>
    <w:div w:id="1973362998">
      <w:bodyDiv w:val="1"/>
      <w:marLeft w:val="0"/>
      <w:marRight w:val="0"/>
      <w:marTop w:val="0"/>
      <w:marBottom w:val="0"/>
      <w:divBdr>
        <w:top w:val="none" w:sz="0" w:space="0" w:color="auto"/>
        <w:left w:val="none" w:sz="0" w:space="0" w:color="auto"/>
        <w:bottom w:val="none" w:sz="0" w:space="0" w:color="auto"/>
        <w:right w:val="none" w:sz="0" w:space="0" w:color="auto"/>
      </w:divBdr>
    </w:div>
    <w:div w:id="2061056464">
      <w:bodyDiv w:val="1"/>
      <w:marLeft w:val="0"/>
      <w:marRight w:val="0"/>
      <w:marTop w:val="0"/>
      <w:marBottom w:val="0"/>
      <w:divBdr>
        <w:top w:val="none" w:sz="0" w:space="0" w:color="auto"/>
        <w:left w:val="none" w:sz="0" w:space="0" w:color="auto"/>
        <w:bottom w:val="none" w:sz="0" w:space="0" w:color="auto"/>
        <w:right w:val="none" w:sz="0" w:space="0" w:color="auto"/>
      </w:divBdr>
    </w:div>
    <w:div w:id="211073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statistics-explained/index.php/Unemployment_statistic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sers\Sa&#353;a\Desktop\mrrfeu%20pp%20032021\pomo&#263;i%20pp%20bpp.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Users\Sa&#353;a\Desktop\mrrfeu%20pp%20032021\pomo&#263;i%20pp%20bpp.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sers\Sa&#353;a\Desktop\mrrfeu%20pp%20032021\pomo&#263;i%20pp%20bpp.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Users\Sa&#353;a\Desktop\mrrfeu%20pp%20032021\pomo&#263;i%20pp%20bpp.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Users\Sa&#353;a\Desktop\mrrfeu%20pp%20032021\pomo&#263;i%20pp%20bp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 grafikoni pp'!$E$19</c:f>
              <c:strCache>
                <c:ptCount val="1"/>
                <c:pt idx="0">
                  <c:v>POMOĆI</c:v>
                </c:pt>
              </c:strCache>
            </c:strRef>
          </c:tx>
          <c:spPr>
            <a:solidFill>
              <a:schemeClr val="accent1"/>
            </a:solidFill>
            <a:ln>
              <a:noFill/>
            </a:ln>
            <a:effectLst/>
          </c:spPr>
          <c:invertIfNegative val="0"/>
          <c:cat>
            <c:numRef>
              <c:f>' grafikoni pp'!$F$18:$S$18</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 grafikoni pp'!$F$19:$S$19</c:f>
              <c:numCache>
                <c:formatCode>0.00</c:formatCode>
                <c:ptCount val="14"/>
                <c:pt idx="0">
                  <c:v>1693.1877689999999</c:v>
                </c:pt>
                <c:pt idx="1">
                  <c:v>1832.995273</c:v>
                </c:pt>
                <c:pt idx="2">
                  <c:v>1615.2802220000001</c:v>
                </c:pt>
                <c:pt idx="3">
                  <c:v>1639.0092930000001</c:v>
                </c:pt>
                <c:pt idx="4">
                  <c:v>1729.8132909999999</c:v>
                </c:pt>
                <c:pt idx="5">
                  <c:v>1575.0817291199999</c:v>
                </c:pt>
                <c:pt idx="6">
                  <c:v>1641.3012100000001</c:v>
                </c:pt>
                <c:pt idx="7">
                  <c:v>1861.6152010000001</c:v>
                </c:pt>
                <c:pt idx="8">
                  <c:v>2348.4811020000002</c:v>
                </c:pt>
                <c:pt idx="9">
                  <c:v>2547.5519810000001</c:v>
                </c:pt>
                <c:pt idx="10">
                  <c:v>3102.2274219999999</c:v>
                </c:pt>
                <c:pt idx="11">
                  <c:v>2572.1804280000001</c:v>
                </c:pt>
                <c:pt idx="12">
                  <c:v>3335.0082179999999</c:v>
                </c:pt>
                <c:pt idx="13">
                  <c:v>4132.5800820000004</c:v>
                </c:pt>
              </c:numCache>
            </c:numRef>
          </c:val>
          <c:extLst>
            <c:ext xmlns:c16="http://schemas.microsoft.com/office/drawing/2014/chart" uri="{C3380CC4-5D6E-409C-BE32-E72D297353CC}">
              <c16:uniqueId val="{00000000-AFE5-4820-BCF9-A6D37FD13868}"/>
            </c:ext>
          </c:extLst>
        </c:ser>
        <c:ser>
          <c:idx val="1"/>
          <c:order val="1"/>
          <c:tx>
            <c:strRef>
              <c:f>' grafikoni pp'!$E$20</c:f>
              <c:strCache>
                <c:ptCount val="1"/>
                <c:pt idx="0">
                  <c:v>POMOĆI PP</c:v>
                </c:pt>
              </c:strCache>
            </c:strRef>
          </c:tx>
          <c:spPr>
            <a:solidFill>
              <a:schemeClr val="accent2"/>
            </a:solidFill>
            <a:ln>
              <a:noFill/>
            </a:ln>
            <a:effectLst/>
          </c:spPr>
          <c:invertIfNegative val="0"/>
          <c:cat>
            <c:numRef>
              <c:f>' grafikoni pp'!$F$18:$S$18</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 grafikoni pp'!$F$20:$S$20</c:f>
              <c:numCache>
                <c:formatCode>0.00</c:formatCode>
                <c:ptCount val="14"/>
                <c:pt idx="0">
                  <c:v>661.84757500000001</c:v>
                </c:pt>
                <c:pt idx="1">
                  <c:v>746.02615000000003</c:v>
                </c:pt>
                <c:pt idx="2">
                  <c:v>690.61061199999995</c:v>
                </c:pt>
                <c:pt idx="3">
                  <c:v>740.90753099999995</c:v>
                </c:pt>
                <c:pt idx="4">
                  <c:v>540.17499999999995</c:v>
                </c:pt>
                <c:pt idx="5">
                  <c:v>488.84589399999999</c:v>
                </c:pt>
                <c:pt idx="6">
                  <c:v>509.40625</c:v>
                </c:pt>
                <c:pt idx="7">
                  <c:v>596.120724</c:v>
                </c:pt>
                <c:pt idx="8">
                  <c:v>926.53013199999998</c:v>
                </c:pt>
                <c:pt idx="9">
                  <c:v>1100.230409</c:v>
                </c:pt>
                <c:pt idx="10">
                  <c:v>1258.5396740000001</c:v>
                </c:pt>
                <c:pt idx="11">
                  <c:v>868.80109700000003</c:v>
                </c:pt>
                <c:pt idx="12">
                  <c:v>1227.7303010000001</c:v>
                </c:pt>
                <c:pt idx="13">
                  <c:v>1365.0219400000001</c:v>
                </c:pt>
              </c:numCache>
            </c:numRef>
          </c:val>
          <c:extLst>
            <c:ext xmlns:c16="http://schemas.microsoft.com/office/drawing/2014/chart" uri="{C3380CC4-5D6E-409C-BE32-E72D297353CC}">
              <c16:uniqueId val="{00000001-AFE5-4820-BCF9-A6D37FD13868}"/>
            </c:ext>
          </c:extLst>
        </c:ser>
        <c:dLbls>
          <c:showLegendKey val="0"/>
          <c:showVal val="0"/>
          <c:showCatName val="0"/>
          <c:showSerName val="0"/>
          <c:showPercent val="0"/>
          <c:showBubbleSize val="0"/>
        </c:dLbls>
        <c:gapWidth val="219"/>
        <c:overlap val="-27"/>
        <c:axId val="-1268300560"/>
        <c:axId val="-1268290224"/>
      </c:barChart>
      <c:catAx>
        <c:axId val="-126830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68290224"/>
        <c:crosses val="autoZero"/>
        <c:auto val="1"/>
        <c:lblAlgn val="ctr"/>
        <c:lblOffset val="100"/>
        <c:noMultiLvlLbl val="0"/>
      </c:catAx>
      <c:valAx>
        <c:axId val="-12682902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6830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 grafikoni pp'!$F$39:$S$39</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 grafikoni pp'!$F$40:$S$40</c:f>
              <c:numCache>
                <c:formatCode>0.00</c:formatCode>
                <c:ptCount val="14"/>
                <c:pt idx="0">
                  <c:v>39.08884691453261</c:v>
                </c:pt>
                <c:pt idx="1">
                  <c:v>40.699840364509221</c:v>
                </c:pt>
                <c:pt idx="2">
                  <c:v>42.754848514451751</c:v>
                </c:pt>
                <c:pt idx="3">
                  <c:v>45.204596103531671</c:v>
                </c:pt>
                <c:pt idx="4">
                  <c:v>31.227358629423318</c:v>
                </c:pt>
                <c:pt idx="5">
                  <c:v>31.036224023315846</c:v>
                </c:pt>
                <c:pt idx="6">
                  <c:v>31.036731521083809</c:v>
                </c:pt>
                <c:pt idx="7">
                  <c:v>32.021694047179196</c:v>
                </c:pt>
                <c:pt idx="8">
                  <c:v>39.452313719320699</c:v>
                </c:pt>
                <c:pt idx="9">
                  <c:v>43.1877511118781</c:v>
                </c:pt>
                <c:pt idx="10">
                  <c:v>40.568904300014921</c:v>
                </c:pt>
                <c:pt idx="11">
                  <c:v>33.776833364506111</c:v>
                </c:pt>
                <c:pt idx="12">
                  <c:v>36.813411564432911</c:v>
                </c:pt>
                <c:pt idx="13">
                  <c:v>33.03074381898935</c:v>
                </c:pt>
              </c:numCache>
            </c:numRef>
          </c:val>
          <c:extLst>
            <c:ext xmlns:c16="http://schemas.microsoft.com/office/drawing/2014/chart" uri="{C3380CC4-5D6E-409C-BE32-E72D297353CC}">
              <c16:uniqueId val="{00000000-220D-40DE-BB9B-DCC552CFF8FA}"/>
            </c:ext>
          </c:extLst>
        </c:ser>
        <c:dLbls>
          <c:showLegendKey val="0"/>
          <c:showVal val="0"/>
          <c:showCatName val="0"/>
          <c:showSerName val="0"/>
          <c:showPercent val="0"/>
          <c:showBubbleSize val="0"/>
        </c:dLbls>
        <c:gapWidth val="219"/>
        <c:overlap val="-27"/>
        <c:axId val="-1275045568"/>
        <c:axId val="-1275046112"/>
      </c:barChart>
      <c:catAx>
        <c:axId val="-127504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75046112"/>
        <c:crosses val="autoZero"/>
        <c:auto val="1"/>
        <c:lblAlgn val="ctr"/>
        <c:lblOffset val="100"/>
        <c:noMultiLvlLbl val="0"/>
      </c:catAx>
      <c:valAx>
        <c:axId val="-12750461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75045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 grafikoni pp'!$E$7</c:f>
              <c:strCache>
                <c:ptCount val="1"/>
                <c:pt idx="0">
                  <c:v>POMOĆI</c:v>
                </c:pt>
              </c:strCache>
            </c:strRef>
          </c:tx>
          <c:spPr>
            <a:solidFill>
              <a:schemeClr val="accent1"/>
            </a:solidFill>
            <a:ln>
              <a:noFill/>
            </a:ln>
            <a:effectLst/>
          </c:spPr>
          <c:invertIfNegative val="0"/>
          <c:cat>
            <c:numRef>
              <c:f>' grafikoni pp'!$F$6:$S$6</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 grafikoni pp'!$F$7:$S$7</c:f>
              <c:numCache>
                <c:formatCode>0.0</c:formatCode>
                <c:ptCount val="14"/>
                <c:pt idx="0">
                  <c:v>392.67178273859702</c:v>
                </c:pt>
                <c:pt idx="1">
                  <c:v>425.30905708762083</c:v>
                </c:pt>
                <c:pt idx="2">
                  <c:v>375.39801484923817</c:v>
                </c:pt>
                <c:pt idx="3">
                  <c:v>382.06618379120795</c:v>
                </c:pt>
                <c:pt idx="4">
                  <c:v>403.70084055853022</c:v>
                </c:pt>
                <c:pt idx="5">
                  <c:v>369.55185168014185</c:v>
                </c:pt>
                <c:pt idx="6">
                  <c:v>386.47869729954891</c:v>
                </c:pt>
                <c:pt idx="7">
                  <c:v>440.58602977860119</c:v>
                </c:pt>
                <c:pt idx="8">
                  <c:v>560.40720515029943</c:v>
                </c:pt>
                <c:pt idx="9">
                  <c:v>613.24539232822201</c:v>
                </c:pt>
                <c:pt idx="10">
                  <c:v>755.62847677489651</c:v>
                </c:pt>
                <c:pt idx="11">
                  <c:v>631.01697689491755</c:v>
                </c:pt>
                <c:pt idx="12">
                  <c:v>821.80202579244565</c:v>
                </c:pt>
                <c:pt idx="13">
                  <c:v>1018.3371257698984</c:v>
                </c:pt>
              </c:numCache>
            </c:numRef>
          </c:val>
          <c:extLst>
            <c:ext xmlns:c16="http://schemas.microsoft.com/office/drawing/2014/chart" uri="{C3380CC4-5D6E-409C-BE32-E72D297353CC}">
              <c16:uniqueId val="{00000000-2426-4506-A1EC-296A4E581898}"/>
            </c:ext>
          </c:extLst>
        </c:ser>
        <c:ser>
          <c:idx val="1"/>
          <c:order val="1"/>
          <c:tx>
            <c:strRef>
              <c:f>' grafikoni pp'!$E$8</c:f>
              <c:strCache>
                <c:ptCount val="1"/>
                <c:pt idx="0">
                  <c:v>POMOĆI PP</c:v>
                </c:pt>
              </c:strCache>
            </c:strRef>
          </c:tx>
          <c:spPr>
            <a:solidFill>
              <a:schemeClr val="accent2"/>
            </a:solidFill>
            <a:ln>
              <a:noFill/>
            </a:ln>
            <a:effectLst/>
          </c:spPr>
          <c:invertIfNegative val="0"/>
          <c:cat>
            <c:numRef>
              <c:f>' grafikoni pp'!$F$6:$S$6</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 grafikoni pp'!$F$8:$S$8</c:f>
              <c:numCache>
                <c:formatCode>0.0</c:formatCode>
                <c:ptCount val="14"/>
                <c:pt idx="0">
                  <c:v>654.7319481871026</c:v>
                </c:pt>
                <c:pt idx="1">
                  <c:v>742.95551485709564</c:v>
                </c:pt>
                <c:pt idx="2">
                  <c:v>695.01701990620529</c:v>
                </c:pt>
                <c:pt idx="3">
                  <c:v>754.72119299539474</c:v>
                </c:pt>
                <c:pt idx="4">
                  <c:v>552.25333263812854</c:v>
                </c:pt>
                <c:pt idx="5">
                  <c:v>512.2570664509409</c:v>
                </c:pt>
                <c:pt idx="6">
                  <c:v>542.13032039998382</c:v>
                </c:pt>
                <c:pt idx="7">
                  <c:v>646.2475624272306</c:v>
                </c:pt>
                <c:pt idx="8">
                  <c:v>1025.5092038256391</c:v>
                </c:pt>
                <c:pt idx="9">
                  <c:v>1247.2712122070943</c:v>
                </c:pt>
                <c:pt idx="10">
                  <c:v>1473.6291044575144</c:v>
                </c:pt>
                <c:pt idx="11">
                  <c:v>1040.8318701645346</c:v>
                </c:pt>
                <c:pt idx="12">
                  <c:v>1498.7033624472806</c:v>
                </c:pt>
                <c:pt idx="13">
                  <c:v>1666.2967181196175</c:v>
                </c:pt>
              </c:numCache>
            </c:numRef>
          </c:val>
          <c:extLst>
            <c:ext xmlns:c16="http://schemas.microsoft.com/office/drawing/2014/chart" uri="{C3380CC4-5D6E-409C-BE32-E72D297353CC}">
              <c16:uniqueId val="{00000001-2426-4506-A1EC-296A4E581898}"/>
            </c:ext>
          </c:extLst>
        </c:ser>
        <c:dLbls>
          <c:showLegendKey val="0"/>
          <c:showVal val="0"/>
          <c:showCatName val="0"/>
          <c:showSerName val="0"/>
          <c:showPercent val="0"/>
          <c:showBubbleSize val="0"/>
        </c:dLbls>
        <c:gapWidth val="219"/>
        <c:overlap val="-27"/>
        <c:axId val="-1275043936"/>
        <c:axId val="-1275046656"/>
      </c:barChart>
      <c:catAx>
        <c:axId val="-127504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75046656"/>
        <c:crosses val="autoZero"/>
        <c:auto val="1"/>
        <c:lblAlgn val="ctr"/>
        <c:lblOffset val="100"/>
        <c:noMultiLvlLbl val="0"/>
      </c:catAx>
      <c:valAx>
        <c:axId val="-12750466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7504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 grafikoni pp'!$W$18</c:f>
              <c:strCache>
                <c:ptCount val="1"/>
                <c:pt idx="0">
                  <c:v>POMOĆI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 grafikoni pp'!$X$17:$AK$17</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 grafikoni pp'!$X$18:$AK$18</c:f>
              <c:numCache>
                <c:formatCode>0.0</c:formatCode>
                <c:ptCount val="14"/>
                <c:pt idx="0">
                  <c:v>16.972877</c:v>
                </c:pt>
                <c:pt idx="1">
                  <c:v>17.016442999999999</c:v>
                </c:pt>
                <c:pt idx="2">
                  <c:v>15.037848</c:v>
                </c:pt>
                <c:pt idx="3">
                  <c:v>3.6241249999999998</c:v>
                </c:pt>
                <c:pt idx="4">
                  <c:v>9.1296130000000009</c:v>
                </c:pt>
                <c:pt idx="5">
                  <c:v>60.629440000000002</c:v>
                </c:pt>
                <c:pt idx="6">
                  <c:v>84.610089000000002</c:v>
                </c:pt>
                <c:pt idx="7">
                  <c:v>24.550183000000001</c:v>
                </c:pt>
                <c:pt idx="8">
                  <c:v>173.02622099999999</c:v>
                </c:pt>
                <c:pt idx="9">
                  <c:v>403.83088099999998</c:v>
                </c:pt>
                <c:pt idx="10">
                  <c:v>142.735027</c:v>
                </c:pt>
                <c:pt idx="11">
                  <c:v>575.83200199999999</c:v>
                </c:pt>
                <c:pt idx="12">
                  <c:v>1410.438717</c:v>
                </c:pt>
                <c:pt idx="13">
                  <c:v>1890.5711550000001</c:v>
                </c:pt>
              </c:numCache>
            </c:numRef>
          </c:val>
          <c:extLst>
            <c:ext xmlns:c16="http://schemas.microsoft.com/office/drawing/2014/chart" uri="{C3380CC4-5D6E-409C-BE32-E72D297353CC}">
              <c16:uniqueId val="{00000000-5F32-4FBA-8EF5-FD48490FCF97}"/>
            </c:ext>
          </c:extLst>
        </c:ser>
        <c:ser>
          <c:idx val="1"/>
          <c:order val="1"/>
          <c:tx>
            <c:strRef>
              <c:f>' grafikoni pp'!$W$19</c:f>
              <c:strCache>
                <c:ptCount val="1"/>
                <c:pt idx="0">
                  <c:v>POMOĆI PP</c:v>
                </c:pt>
              </c:strCache>
            </c:strRef>
          </c:tx>
          <c:spPr>
            <a:solidFill>
              <a:schemeClr val="accent2"/>
            </a:solidFill>
            <a:ln>
              <a:noFill/>
            </a:ln>
            <a:effectLst/>
          </c:spPr>
          <c:invertIfNegative val="0"/>
          <c:dLbls>
            <c:dLbl>
              <c:idx val="0"/>
              <c:layout>
                <c:manualLayout>
                  <c:x val="6.615214994487321E-3"/>
                  <c:y val="-6.596306068601583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15:layout>
                    <c:manualLayout>
                      <c:w val="4.9316340970057902E-2"/>
                      <c:h val="5.7102195998587249E-2"/>
                    </c:manualLayout>
                  </c15:layout>
                </c:ext>
                <c:ext xmlns:c16="http://schemas.microsoft.com/office/drawing/2014/chart" uri="{C3380CC4-5D6E-409C-BE32-E72D297353CC}">
                  <c16:uniqueId val="{00000000-1AAB-49C3-BA0D-DF81BFFB6728}"/>
                </c:ext>
              </c:extLst>
            </c:dLbl>
            <c:dLbl>
              <c:idx val="1"/>
              <c:layout>
                <c:manualLayout>
                  <c:x val="4.410143329658194E-3"/>
                  <c:y val="-6.15655233069480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AB-49C3-BA0D-DF81BFFB6728}"/>
                </c:ext>
              </c:extLst>
            </c:dLbl>
            <c:dLbl>
              <c:idx val="2"/>
              <c:layout>
                <c:manualLayout>
                  <c:x val="4.410143329658214E-3"/>
                  <c:y val="-7.0360598065083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AB-49C3-BA0D-DF81BFFB6728}"/>
                </c:ext>
              </c:extLst>
            </c:dLbl>
            <c:dLbl>
              <c:idx val="3"/>
              <c:layout>
                <c:manualLayout>
                  <c:x val="-4.410143329658214E-3"/>
                  <c:y val="-6.5963060686015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AB-49C3-BA0D-DF81BFFB6728}"/>
                </c:ext>
              </c:extLst>
            </c:dLbl>
            <c:dLbl>
              <c:idx val="4"/>
              <c:layout>
                <c:manualLayout>
                  <c:x val="-4.0425846852367784E-17"/>
                  <c:y val="-5.7167985927880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AB-49C3-BA0D-DF81BFFB6728}"/>
                </c:ext>
              </c:extLst>
            </c:dLbl>
            <c:dLbl>
              <c:idx val="5"/>
              <c:layout>
                <c:manualLayout>
                  <c:x val="2.205071664829107E-3"/>
                  <c:y val="-6.5963060686015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AB-49C3-BA0D-DF81BFFB6728}"/>
                </c:ext>
              </c:extLst>
            </c:dLbl>
            <c:dLbl>
              <c:idx val="6"/>
              <c:layout>
                <c:manualLayout>
                  <c:x val="-8.0851693704735569E-17"/>
                  <c:y val="-5.7167985927880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AB-49C3-BA0D-DF81BFFB6728}"/>
                </c:ext>
              </c:extLst>
            </c:dLbl>
            <c:dLbl>
              <c:idx val="7"/>
              <c:layout>
                <c:manualLayout>
                  <c:x val="-8.0851693704735569E-17"/>
                  <c:y val="-7.47581354441513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AB-49C3-BA0D-DF81BFFB6728}"/>
                </c:ext>
              </c:extLst>
            </c:dLbl>
            <c:dLbl>
              <c:idx val="8"/>
              <c:layout>
                <c:manualLayout>
                  <c:x val="6.6152149944872403E-3"/>
                  <c:y val="4.39753737906764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AB-49C3-BA0D-DF81BFFB67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 grafikoni pp'!$X$17:$AK$17</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 grafikoni pp'!$X$19:$AK$19</c:f>
              <c:numCache>
                <c:formatCode>0.0</c:formatCode>
                <c:ptCount val="14"/>
                <c:pt idx="0">
                  <c:v>8.9810859999999995</c:v>
                </c:pt>
                <c:pt idx="1">
                  <c:v>9.8891069999999992</c:v>
                </c:pt>
                <c:pt idx="2">
                  <c:v>8.3697060000000008</c:v>
                </c:pt>
                <c:pt idx="3">
                  <c:v>0.69200700000000004</c:v>
                </c:pt>
                <c:pt idx="4">
                  <c:v>1.4961949999999999</c:v>
                </c:pt>
                <c:pt idx="5">
                  <c:v>19.211124000000002</c:v>
                </c:pt>
                <c:pt idx="6">
                  <c:v>28.925951999999999</c:v>
                </c:pt>
                <c:pt idx="7">
                  <c:v>12.606354</c:v>
                </c:pt>
                <c:pt idx="8">
                  <c:v>49.679524000000001</c:v>
                </c:pt>
                <c:pt idx="9">
                  <c:v>85.717371</c:v>
                </c:pt>
                <c:pt idx="10">
                  <c:v>33.708573000000001</c:v>
                </c:pt>
                <c:pt idx="11">
                  <c:v>228.79009300000001</c:v>
                </c:pt>
                <c:pt idx="12">
                  <c:v>545.12208699999996</c:v>
                </c:pt>
                <c:pt idx="13">
                  <c:v>673.27101100000004</c:v>
                </c:pt>
              </c:numCache>
            </c:numRef>
          </c:val>
          <c:extLst>
            <c:ext xmlns:c16="http://schemas.microsoft.com/office/drawing/2014/chart" uri="{C3380CC4-5D6E-409C-BE32-E72D297353CC}">
              <c16:uniqueId val="{00000001-5F32-4FBA-8EF5-FD48490FCF97}"/>
            </c:ext>
          </c:extLst>
        </c:ser>
        <c:dLbls>
          <c:showLegendKey val="0"/>
          <c:showVal val="0"/>
          <c:showCatName val="0"/>
          <c:showSerName val="0"/>
          <c:showPercent val="0"/>
          <c:showBubbleSize val="0"/>
        </c:dLbls>
        <c:gapWidth val="219"/>
        <c:overlap val="-27"/>
        <c:axId val="-1275047744"/>
        <c:axId val="-1275037408"/>
      </c:barChart>
      <c:catAx>
        <c:axId val="-127504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75037408"/>
        <c:crosses val="autoZero"/>
        <c:auto val="1"/>
        <c:lblAlgn val="ctr"/>
        <c:lblOffset val="100"/>
        <c:noMultiLvlLbl val="0"/>
      </c:catAx>
      <c:valAx>
        <c:axId val="-12750374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7504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025496812898385E-2"/>
          <c:y val="4.2210283960092097E-2"/>
          <c:w val="0.8938993152171768"/>
          <c:h val="0.78099237978982483"/>
        </c:manualLayout>
      </c:layout>
      <c:barChart>
        <c:barDir val="col"/>
        <c:grouping val="clustered"/>
        <c:varyColors val="0"/>
        <c:ser>
          <c:idx val="0"/>
          <c:order val="0"/>
          <c:tx>
            <c:strRef>
              <c:f>' grafikoni pp'!$W$23</c:f>
              <c:strCache>
                <c:ptCount val="1"/>
                <c:pt idx="0">
                  <c:v>POMOĆI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 grafikoni pp'!$X$22:$AK$22</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 grafikoni pp'!$X$23:$AK$23</c:f>
              <c:numCache>
                <c:formatCode>0.0</c:formatCode>
                <c:ptCount val="14"/>
                <c:pt idx="0">
                  <c:v>3.9362260889287883</c:v>
                </c:pt>
                <c:pt idx="1">
                  <c:v>3.9483175073715788</c:v>
                </c:pt>
                <c:pt idx="2">
                  <c:v>3.4948600310445621</c:v>
                </c:pt>
                <c:pt idx="3">
                  <c:v>0.84481254270247241</c:v>
                </c:pt>
                <c:pt idx="4">
                  <c:v>2.1306533261421707</c:v>
                </c:pt>
                <c:pt idx="5">
                  <c:v>14.225116960024776</c:v>
                </c:pt>
                <c:pt idx="6">
                  <c:v>19.923215053938144</c:v>
                </c:pt>
                <c:pt idx="7">
                  <c:v>5.8102596350190137</c:v>
                </c:pt>
                <c:pt idx="8">
                  <c:v>41.288448455365959</c:v>
                </c:pt>
                <c:pt idx="9">
                  <c:v>97.209960346279786</c:v>
                </c:pt>
                <c:pt idx="10">
                  <c:v>34.766842130774549</c:v>
                </c:pt>
                <c:pt idx="11">
                  <c:v>141.26527250808709</c:v>
                </c:pt>
                <c:pt idx="12">
                  <c:v>347.55578371012513</c:v>
                </c:pt>
                <c:pt idx="13">
                  <c:v>465.86847873361484</c:v>
                </c:pt>
              </c:numCache>
            </c:numRef>
          </c:val>
          <c:extLst>
            <c:ext xmlns:c16="http://schemas.microsoft.com/office/drawing/2014/chart" uri="{C3380CC4-5D6E-409C-BE32-E72D297353CC}">
              <c16:uniqueId val="{00000000-9816-4257-A613-9B2EA7BC93E5}"/>
            </c:ext>
          </c:extLst>
        </c:ser>
        <c:ser>
          <c:idx val="1"/>
          <c:order val="1"/>
          <c:tx>
            <c:strRef>
              <c:f>' grafikoni pp'!$W$24</c:f>
              <c:strCache>
                <c:ptCount val="1"/>
                <c:pt idx="0">
                  <c:v>POMOĆI PP</c:v>
                </c:pt>
              </c:strCache>
            </c:strRef>
          </c:tx>
          <c:spPr>
            <a:solidFill>
              <a:schemeClr val="accent2"/>
            </a:solidFill>
            <a:ln>
              <a:noFill/>
            </a:ln>
            <a:effectLst/>
          </c:spPr>
          <c:invertIfNegative val="0"/>
          <c:dLbls>
            <c:dLbl>
              <c:idx val="0"/>
              <c:layout>
                <c:manualLayout>
                  <c:x val="6.5252854812398045E-3"/>
                  <c:y val="-4.06779661016949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C1-47E5-A8F5-3F6E5DC46722}"/>
                </c:ext>
              </c:extLst>
            </c:dLbl>
            <c:dLbl>
              <c:idx val="1"/>
              <c:layout>
                <c:manualLayout>
                  <c:x val="-1.9938141976670787E-17"/>
                  <c:y val="-4.97175141242937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C1-47E5-A8F5-3F6E5DC46722}"/>
                </c:ext>
              </c:extLst>
            </c:dLbl>
            <c:dLbl>
              <c:idx val="2"/>
              <c:layout>
                <c:manualLayout>
                  <c:x val="-4.3501903208265358E-3"/>
                  <c:y val="-5.4237288135593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C1-47E5-A8F5-3F6E5DC46722}"/>
                </c:ext>
              </c:extLst>
            </c:dLbl>
            <c:dLbl>
              <c:idx val="3"/>
              <c:layout>
                <c:manualLayout>
                  <c:x val="-4.3501903208265757E-3"/>
                  <c:y val="-5.87570621468926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C1-47E5-A8F5-3F6E5DC46722}"/>
                </c:ext>
              </c:extLst>
            </c:dLbl>
            <c:dLbl>
              <c:idx val="4"/>
              <c:layout>
                <c:manualLayout>
                  <c:x val="-2.1750951604133078E-3"/>
                  <c:y val="-6.7796610169491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C1-47E5-A8F5-3F6E5DC46722}"/>
                </c:ext>
              </c:extLst>
            </c:dLbl>
            <c:dLbl>
              <c:idx val="5"/>
              <c:layout>
                <c:manualLayout>
                  <c:x val="-2.1750951604133477E-3"/>
                  <c:y val="-6.7796610169491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C1-47E5-A8F5-3F6E5DC46722}"/>
                </c:ext>
              </c:extLst>
            </c:dLbl>
            <c:dLbl>
              <c:idx val="6"/>
              <c:layout>
                <c:manualLayout>
                  <c:x val="0"/>
                  <c:y val="-7.23163841807909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C1-47E5-A8F5-3F6E5DC46722}"/>
                </c:ext>
              </c:extLst>
            </c:dLbl>
            <c:dLbl>
              <c:idx val="7"/>
              <c:layout>
                <c:manualLayout>
                  <c:x val="-4.3501903208265358E-3"/>
                  <c:y val="-7.23163841807908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15:layout>
                    <c:manualLayout>
                      <c:w val="4.7689047025728633E-2"/>
                      <c:h val="0.12196627963877396"/>
                    </c:manualLayout>
                  </c15:layout>
                </c:ext>
                <c:ext xmlns:c16="http://schemas.microsoft.com/office/drawing/2014/chart" uri="{C3380CC4-5D6E-409C-BE32-E72D297353CC}">
                  <c16:uniqueId val="{00000007-0AC1-47E5-A8F5-3F6E5DC46722}"/>
                </c:ext>
              </c:extLst>
            </c:dLbl>
            <c:dLbl>
              <c:idx val="8"/>
              <c:layout>
                <c:manualLayout>
                  <c:x val="-6.5252854812398045E-3"/>
                  <c:y val="-6.77966101694915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AC1-47E5-A8F5-3F6E5DC46722}"/>
                </c:ext>
              </c:extLst>
            </c:dLbl>
            <c:dLbl>
              <c:idx val="9"/>
              <c:layout>
                <c:manualLayout>
                  <c:x val="0"/>
                  <c:y val="-3.4535686876439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16-4257-A613-9B2EA7BC93E5}"/>
                </c:ext>
              </c:extLst>
            </c:dLbl>
            <c:dLbl>
              <c:idx val="10"/>
              <c:layout>
                <c:manualLayout>
                  <c:x val="-2.5062656641604009E-3"/>
                  <c:y val="-4.60475825019187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16-4257-A613-9B2EA7BC93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 grafikoni pp'!$X$22:$AK$22</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 grafikoni pp'!$X$24:$AK$24</c:f>
              <c:numCache>
                <c:formatCode>0.0</c:formatCode>
                <c:ptCount val="14"/>
                <c:pt idx="0">
                  <c:v>8.8845289394856692</c:v>
                </c:pt>
                <c:pt idx="1">
                  <c:v>9.8484035481355559</c:v>
                </c:pt>
                <c:pt idx="2">
                  <c:v>8.4231085079403414</c:v>
                </c:pt>
                <c:pt idx="3">
                  <c:v>0.70490894848410457</c:v>
                </c:pt>
                <c:pt idx="4">
                  <c:v>1.529649974594353</c:v>
                </c:pt>
                <c:pt idx="5">
                  <c:v>20.131158191675976</c:v>
                </c:pt>
                <c:pt idx="6">
                  <c:v>30.78414453225604</c:v>
                </c:pt>
                <c:pt idx="7">
                  <c:v>13.666402149096847</c:v>
                </c:pt>
                <c:pt idx="8">
                  <c:v>54.986672687809289</c:v>
                </c:pt>
                <c:pt idx="9">
                  <c:v>97.173108795955159</c:v>
                </c:pt>
                <c:pt idx="10">
                  <c:v>39.469502049667405</c:v>
                </c:pt>
                <c:pt idx="11">
                  <c:v>274.09267920423423</c:v>
                </c:pt>
                <c:pt idx="12">
                  <c:v>665.4362966082557</c:v>
                </c:pt>
                <c:pt idx="13">
                  <c:v>821.86904339015746</c:v>
                </c:pt>
              </c:numCache>
            </c:numRef>
          </c:val>
          <c:extLst>
            <c:ext xmlns:c16="http://schemas.microsoft.com/office/drawing/2014/chart" uri="{C3380CC4-5D6E-409C-BE32-E72D297353CC}">
              <c16:uniqueId val="{00000003-9816-4257-A613-9B2EA7BC93E5}"/>
            </c:ext>
          </c:extLst>
        </c:ser>
        <c:dLbls>
          <c:showLegendKey val="0"/>
          <c:showVal val="0"/>
          <c:showCatName val="0"/>
          <c:showSerName val="0"/>
          <c:showPercent val="0"/>
          <c:showBubbleSize val="0"/>
        </c:dLbls>
        <c:gapWidth val="219"/>
        <c:overlap val="-27"/>
        <c:axId val="-1275043392"/>
        <c:axId val="-1275042848"/>
      </c:barChart>
      <c:catAx>
        <c:axId val="-127504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75042848"/>
        <c:crosses val="autoZero"/>
        <c:auto val="1"/>
        <c:lblAlgn val="ctr"/>
        <c:lblOffset val="100"/>
        <c:noMultiLvlLbl val="0"/>
      </c:catAx>
      <c:valAx>
        <c:axId val="-12750428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7504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739F68-DC77-471E-BCF6-DC78E176CB7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hr-HR"/>
        </a:p>
      </dgm:t>
    </dgm:pt>
    <dgm:pt modelId="{2C47EF0A-0E69-46AE-98C8-6A8987097F77}">
      <dgm:prSet phldrT="[Text]" custT="1"/>
      <dgm:spPr>
        <a:xfrm>
          <a:off x="1890236" y="20373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gm:spPr>
      <dgm:t>
        <a:bodyPr/>
        <a:lstStyle/>
        <a:p>
          <a:pPr>
            <a:buNone/>
          </a:pPr>
          <a:r>
            <a:rPr lang="hr-HR" sz="2000">
              <a:solidFill>
                <a:sysClr val="windowText" lastClr="000000">
                  <a:hueOff val="0"/>
                  <a:satOff val="0"/>
                  <a:lumOff val="0"/>
                  <a:alphaOff val="0"/>
                </a:sysClr>
              </a:solidFill>
              <a:latin typeface="Calibri" panose="020F0502020204030204"/>
              <a:ea typeface="+mn-ea"/>
              <a:cs typeface="+mn-cs"/>
            </a:rPr>
            <a:t>Integrirani teritorijalni program</a:t>
          </a:r>
        </a:p>
      </dgm:t>
    </dgm:pt>
    <dgm:pt modelId="{2663A213-C32D-4A91-BB51-E60FF12D27F0}" type="parTrans" cxnId="{3F3FCAE7-E74C-40CA-A38B-3CBBA3324180}">
      <dgm:prSet/>
      <dgm:spPr/>
      <dgm:t>
        <a:bodyPr/>
        <a:lstStyle/>
        <a:p>
          <a:endParaRPr lang="hr-HR"/>
        </a:p>
      </dgm:t>
    </dgm:pt>
    <dgm:pt modelId="{3D0DF8DE-3829-4F05-A95B-2EA4F8173EBA}" type="sibTrans" cxnId="{3F3FCAE7-E74C-40CA-A38B-3CBBA3324180}">
      <dgm:prSet/>
      <dgm:spPr/>
      <dgm:t>
        <a:bodyPr/>
        <a:lstStyle/>
        <a:p>
          <a:endParaRPr lang="hr-HR"/>
        </a:p>
      </dgm:t>
    </dgm:pt>
    <dgm:pt modelId="{E39E1C43-F299-4E1F-A432-55B5284A35AE}">
      <dgm:prSet phldrT="[Text]" custT="1"/>
      <dgm:spPr>
        <a:xfrm>
          <a:off x="717411" y="198056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gm:spPr>
      <dgm:t>
        <a:bodyPr/>
        <a:lstStyle/>
        <a:p>
          <a:pPr>
            <a:buNone/>
          </a:pPr>
          <a:r>
            <a:rPr lang="hr-HR" sz="2000">
              <a:solidFill>
                <a:sysClr val="windowText" lastClr="000000">
                  <a:hueOff val="0"/>
                  <a:satOff val="0"/>
                  <a:lumOff val="0"/>
                  <a:alphaOff val="0"/>
                </a:sysClr>
              </a:solidFill>
              <a:latin typeface="Calibri" panose="020F0502020204030204"/>
              <a:ea typeface="+mn-ea"/>
              <a:cs typeface="+mn-cs"/>
            </a:rPr>
            <a:t>Europski fond za regionalni razvoj</a:t>
          </a:r>
        </a:p>
      </dgm:t>
    </dgm:pt>
    <dgm:pt modelId="{F71EE912-267F-4482-AB65-16A57A1BD5D4}" type="parTrans" cxnId="{D82BC8FD-AD14-4511-BDDB-A4B1A1E77FD9}">
      <dgm:prSet/>
      <dgm:spPr>
        <a:xfrm>
          <a:off x="1463754" y="1219831"/>
          <a:ext cx="1172825" cy="558158"/>
        </a:xfrm>
        <a:custGeom>
          <a:avLst/>
          <a:gdLst/>
          <a:ahLst/>
          <a:cxnLst/>
          <a:rect l="0" t="0" r="0" b="0"/>
          <a:pathLst>
            <a:path>
              <a:moveTo>
                <a:pt x="1172825" y="0"/>
              </a:moveTo>
              <a:lnTo>
                <a:pt x="1172825" y="380368"/>
              </a:lnTo>
              <a:lnTo>
                <a:pt x="0" y="380368"/>
              </a:lnTo>
              <a:lnTo>
                <a:pt x="0" y="558158"/>
              </a:lnTo>
            </a:path>
          </a:pathLst>
        </a:custGeom>
        <a:noFill/>
        <a:ln w="12700" cap="flat" cmpd="sng" algn="ctr">
          <a:solidFill>
            <a:srgbClr val="1CADE4">
              <a:shade val="60000"/>
              <a:hueOff val="0"/>
              <a:satOff val="0"/>
              <a:lumOff val="0"/>
              <a:alphaOff val="0"/>
            </a:srgbClr>
          </a:solidFill>
          <a:prstDash val="solid"/>
          <a:miter lim="800000"/>
        </a:ln>
        <a:effectLst/>
      </dgm:spPr>
      <dgm:t>
        <a:bodyPr/>
        <a:lstStyle/>
        <a:p>
          <a:endParaRPr lang="hr-HR"/>
        </a:p>
      </dgm:t>
    </dgm:pt>
    <dgm:pt modelId="{BA21B95D-69A1-4AF1-A58C-B5B7DC00ABC9}" type="sibTrans" cxnId="{D82BC8FD-AD14-4511-BDDB-A4B1A1E77FD9}">
      <dgm:prSet/>
      <dgm:spPr/>
      <dgm:t>
        <a:bodyPr/>
        <a:lstStyle/>
        <a:p>
          <a:endParaRPr lang="hr-HR"/>
        </a:p>
      </dgm:t>
    </dgm:pt>
    <dgm:pt modelId="{815440BE-D1D1-484A-BF98-A80D92C7BC77}">
      <dgm:prSet phldrT="[Text]" custT="1"/>
      <dgm:spPr>
        <a:xfrm>
          <a:off x="3063061" y="198056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gm:spPr>
      <dgm:t>
        <a:bodyPr/>
        <a:lstStyle/>
        <a:p>
          <a:pPr>
            <a:buNone/>
          </a:pPr>
          <a:r>
            <a:rPr lang="hr-HR" sz="2000">
              <a:solidFill>
                <a:sysClr val="windowText" lastClr="000000">
                  <a:hueOff val="0"/>
                  <a:satOff val="0"/>
                  <a:lumOff val="0"/>
                  <a:alphaOff val="0"/>
                </a:sysClr>
              </a:solidFill>
              <a:latin typeface="Calibri" panose="020F0502020204030204"/>
              <a:ea typeface="+mn-ea"/>
              <a:cs typeface="+mn-cs"/>
            </a:rPr>
            <a:t>Fond za pravednu tranziciju</a:t>
          </a:r>
        </a:p>
      </dgm:t>
    </dgm:pt>
    <dgm:pt modelId="{E309A272-3F81-46A3-BB45-0D569F832774}" type="parTrans" cxnId="{03CD19B0-BB15-48FF-BD84-94402ABECB3D}">
      <dgm:prSet/>
      <dgm:spPr>
        <a:xfrm>
          <a:off x="2636579" y="1219831"/>
          <a:ext cx="1172825" cy="558158"/>
        </a:xfrm>
        <a:custGeom>
          <a:avLst/>
          <a:gdLst/>
          <a:ahLst/>
          <a:cxnLst/>
          <a:rect l="0" t="0" r="0" b="0"/>
          <a:pathLst>
            <a:path>
              <a:moveTo>
                <a:pt x="0" y="0"/>
              </a:moveTo>
              <a:lnTo>
                <a:pt x="0" y="380368"/>
              </a:lnTo>
              <a:lnTo>
                <a:pt x="1172825" y="380368"/>
              </a:lnTo>
              <a:lnTo>
                <a:pt x="1172825" y="558158"/>
              </a:lnTo>
            </a:path>
          </a:pathLst>
        </a:custGeom>
        <a:noFill/>
        <a:ln w="12700" cap="flat" cmpd="sng" algn="ctr">
          <a:solidFill>
            <a:srgbClr val="1CADE4">
              <a:shade val="60000"/>
              <a:hueOff val="0"/>
              <a:satOff val="0"/>
              <a:lumOff val="0"/>
              <a:alphaOff val="0"/>
            </a:srgbClr>
          </a:solidFill>
          <a:prstDash val="solid"/>
          <a:miter lim="800000"/>
        </a:ln>
        <a:effectLst/>
      </dgm:spPr>
      <dgm:t>
        <a:bodyPr/>
        <a:lstStyle/>
        <a:p>
          <a:endParaRPr lang="hr-HR"/>
        </a:p>
      </dgm:t>
    </dgm:pt>
    <dgm:pt modelId="{8FECD1CF-AD4D-4823-8ADD-B74015A5FAB0}" type="sibTrans" cxnId="{03CD19B0-BB15-48FF-BD84-94402ABECB3D}">
      <dgm:prSet/>
      <dgm:spPr/>
      <dgm:t>
        <a:bodyPr/>
        <a:lstStyle/>
        <a:p>
          <a:endParaRPr lang="hr-HR"/>
        </a:p>
      </dgm:t>
    </dgm:pt>
    <dgm:pt modelId="{9BF12E58-A750-4C14-B572-61002646DF8E}" type="pres">
      <dgm:prSet presAssocID="{2B739F68-DC77-471E-BCF6-DC78E176CB70}" presName="hierChild1" presStyleCnt="0">
        <dgm:presLayoutVars>
          <dgm:chPref val="1"/>
          <dgm:dir/>
          <dgm:animOne val="branch"/>
          <dgm:animLvl val="lvl"/>
          <dgm:resizeHandles/>
        </dgm:presLayoutVars>
      </dgm:prSet>
      <dgm:spPr/>
    </dgm:pt>
    <dgm:pt modelId="{7CEB1BD0-85B8-4DE8-A065-A3BD930F430A}" type="pres">
      <dgm:prSet presAssocID="{2C47EF0A-0E69-46AE-98C8-6A8987097F77}" presName="hierRoot1" presStyleCnt="0"/>
      <dgm:spPr/>
    </dgm:pt>
    <dgm:pt modelId="{2DC2283A-E32E-4610-BBA8-4748E44D39CD}" type="pres">
      <dgm:prSet presAssocID="{2C47EF0A-0E69-46AE-98C8-6A8987097F77}" presName="composite" presStyleCnt="0"/>
      <dgm:spPr/>
    </dgm:pt>
    <dgm:pt modelId="{0420FE0D-0CCE-47AD-B4B1-14DFC1B8EABE}" type="pres">
      <dgm:prSet presAssocID="{2C47EF0A-0E69-46AE-98C8-6A8987097F77}" presName="background" presStyleLbl="node0" presStyleIdx="0" presStyleCnt="1"/>
      <dgm:spPr>
        <a:xfrm>
          <a:off x="1676995" y="115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6D4FFF-436E-4951-9DAE-0D03EDECF4C9}" type="pres">
      <dgm:prSet presAssocID="{2C47EF0A-0E69-46AE-98C8-6A8987097F77}" presName="text" presStyleLbl="fgAcc0" presStyleIdx="0" presStyleCnt="1">
        <dgm:presLayoutVars>
          <dgm:chPref val="3"/>
        </dgm:presLayoutVars>
      </dgm:prSet>
      <dgm:spPr>
        <a:prstGeom prst="roundRect">
          <a:avLst>
            <a:gd name="adj" fmla="val 10000"/>
          </a:avLst>
        </a:prstGeom>
      </dgm:spPr>
    </dgm:pt>
    <dgm:pt modelId="{CC18794E-9603-47C9-9D3F-463F9F5BE75B}" type="pres">
      <dgm:prSet presAssocID="{2C47EF0A-0E69-46AE-98C8-6A8987097F77}" presName="hierChild2" presStyleCnt="0"/>
      <dgm:spPr/>
    </dgm:pt>
    <dgm:pt modelId="{D7E2F928-80C1-460D-B727-65E9D965878F}" type="pres">
      <dgm:prSet presAssocID="{F71EE912-267F-4482-AB65-16A57A1BD5D4}" presName="Name10" presStyleLbl="parChTrans1D2" presStyleIdx="0" presStyleCnt="2"/>
      <dgm:spPr>
        <a:custGeom>
          <a:avLst/>
          <a:gdLst/>
          <a:ahLst/>
          <a:cxnLst/>
          <a:rect l="0" t="0" r="0" b="0"/>
          <a:pathLst>
            <a:path>
              <a:moveTo>
                <a:pt x="1172825" y="0"/>
              </a:moveTo>
              <a:lnTo>
                <a:pt x="1172825" y="380368"/>
              </a:lnTo>
              <a:lnTo>
                <a:pt x="0" y="380368"/>
              </a:lnTo>
              <a:lnTo>
                <a:pt x="0" y="558158"/>
              </a:lnTo>
            </a:path>
          </a:pathLst>
        </a:custGeom>
      </dgm:spPr>
    </dgm:pt>
    <dgm:pt modelId="{96B0D1D5-4784-4296-838E-19D9CF5F4989}" type="pres">
      <dgm:prSet presAssocID="{E39E1C43-F299-4E1F-A432-55B5284A35AE}" presName="hierRoot2" presStyleCnt="0"/>
      <dgm:spPr/>
    </dgm:pt>
    <dgm:pt modelId="{27FF7DE1-3F4C-4BA5-A3B4-FFADDDB4A516}" type="pres">
      <dgm:prSet presAssocID="{E39E1C43-F299-4E1F-A432-55B5284A35AE}" presName="composite2" presStyleCnt="0"/>
      <dgm:spPr/>
    </dgm:pt>
    <dgm:pt modelId="{7AEA6D2C-B90E-4D63-A4B2-F1C4A17C9EE1}" type="pres">
      <dgm:prSet presAssocID="{E39E1C43-F299-4E1F-A432-55B5284A35AE}" presName="background2" presStyleLbl="node2" presStyleIdx="0" presStyleCnt="2"/>
      <dgm:spPr>
        <a:xfrm>
          <a:off x="504170" y="177798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0A88BC8-AB3D-4AA9-8B57-AE4545B7A275}" type="pres">
      <dgm:prSet presAssocID="{E39E1C43-F299-4E1F-A432-55B5284A35AE}" presName="text2" presStyleLbl="fgAcc2" presStyleIdx="0" presStyleCnt="2">
        <dgm:presLayoutVars>
          <dgm:chPref val="3"/>
        </dgm:presLayoutVars>
      </dgm:prSet>
      <dgm:spPr>
        <a:prstGeom prst="roundRect">
          <a:avLst>
            <a:gd name="adj" fmla="val 10000"/>
          </a:avLst>
        </a:prstGeom>
      </dgm:spPr>
    </dgm:pt>
    <dgm:pt modelId="{975B7690-B1C6-4A7C-B513-97D3D93C9404}" type="pres">
      <dgm:prSet presAssocID="{E39E1C43-F299-4E1F-A432-55B5284A35AE}" presName="hierChild3" presStyleCnt="0"/>
      <dgm:spPr/>
    </dgm:pt>
    <dgm:pt modelId="{BEB672C6-ECEB-4CF3-B999-375AAB5FD1AD}" type="pres">
      <dgm:prSet presAssocID="{E309A272-3F81-46A3-BB45-0D569F832774}" presName="Name10" presStyleLbl="parChTrans1D2" presStyleIdx="1" presStyleCnt="2"/>
      <dgm:spPr>
        <a:custGeom>
          <a:avLst/>
          <a:gdLst/>
          <a:ahLst/>
          <a:cxnLst/>
          <a:rect l="0" t="0" r="0" b="0"/>
          <a:pathLst>
            <a:path>
              <a:moveTo>
                <a:pt x="0" y="0"/>
              </a:moveTo>
              <a:lnTo>
                <a:pt x="0" y="380368"/>
              </a:lnTo>
              <a:lnTo>
                <a:pt x="1172825" y="380368"/>
              </a:lnTo>
              <a:lnTo>
                <a:pt x="1172825" y="558158"/>
              </a:lnTo>
            </a:path>
          </a:pathLst>
        </a:custGeom>
      </dgm:spPr>
    </dgm:pt>
    <dgm:pt modelId="{CD9FA343-B03F-491F-BC88-6731B2EE3142}" type="pres">
      <dgm:prSet presAssocID="{815440BE-D1D1-484A-BF98-A80D92C7BC77}" presName="hierRoot2" presStyleCnt="0"/>
      <dgm:spPr/>
    </dgm:pt>
    <dgm:pt modelId="{0DEB0DF9-70AB-4648-A418-62F80DC5A133}" type="pres">
      <dgm:prSet presAssocID="{815440BE-D1D1-484A-BF98-A80D92C7BC77}" presName="composite2" presStyleCnt="0"/>
      <dgm:spPr/>
    </dgm:pt>
    <dgm:pt modelId="{6832DE1B-69D2-4442-BF66-9CEB02A6F67F}" type="pres">
      <dgm:prSet presAssocID="{815440BE-D1D1-484A-BF98-A80D92C7BC77}" presName="background2" presStyleLbl="node2" presStyleIdx="1" presStyleCnt="2"/>
      <dgm:spPr>
        <a:xfrm>
          <a:off x="2849820" y="177798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692DA6D-F2C2-42B4-94F9-ED93D289954B}" type="pres">
      <dgm:prSet presAssocID="{815440BE-D1D1-484A-BF98-A80D92C7BC77}" presName="text2" presStyleLbl="fgAcc2" presStyleIdx="1" presStyleCnt="2">
        <dgm:presLayoutVars>
          <dgm:chPref val="3"/>
        </dgm:presLayoutVars>
      </dgm:prSet>
      <dgm:spPr>
        <a:prstGeom prst="roundRect">
          <a:avLst>
            <a:gd name="adj" fmla="val 10000"/>
          </a:avLst>
        </a:prstGeom>
      </dgm:spPr>
    </dgm:pt>
    <dgm:pt modelId="{A6F26242-17FC-4527-988B-09197D73E1CB}" type="pres">
      <dgm:prSet presAssocID="{815440BE-D1D1-484A-BF98-A80D92C7BC77}" presName="hierChild3" presStyleCnt="0"/>
      <dgm:spPr/>
    </dgm:pt>
  </dgm:ptLst>
  <dgm:cxnLst>
    <dgm:cxn modelId="{C83C431D-0DBB-44B0-8811-A48EE14E1C16}" type="presOf" srcId="{815440BE-D1D1-484A-BF98-A80D92C7BC77}" destId="{7692DA6D-F2C2-42B4-94F9-ED93D289954B}" srcOrd="0" destOrd="0" presId="urn:microsoft.com/office/officeart/2005/8/layout/hierarchy1"/>
    <dgm:cxn modelId="{AF4F5B46-3E84-4D92-BD3E-3AA713B1678A}" type="presOf" srcId="{F71EE912-267F-4482-AB65-16A57A1BD5D4}" destId="{D7E2F928-80C1-460D-B727-65E9D965878F}" srcOrd="0" destOrd="0" presId="urn:microsoft.com/office/officeart/2005/8/layout/hierarchy1"/>
    <dgm:cxn modelId="{C9FD264A-14AC-4399-ACB9-C861D81BD929}" type="presOf" srcId="{2B739F68-DC77-471E-BCF6-DC78E176CB70}" destId="{9BF12E58-A750-4C14-B572-61002646DF8E}" srcOrd="0" destOrd="0" presId="urn:microsoft.com/office/officeart/2005/8/layout/hierarchy1"/>
    <dgm:cxn modelId="{4FB4347E-9F69-4071-AC6A-E47A70E274B2}" type="presOf" srcId="{E39E1C43-F299-4E1F-A432-55B5284A35AE}" destId="{F0A88BC8-AB3D-4AA9-8B57-AE4545B7A275}" srcOrd="0" destOrd="0" presId="urn:microsoft.com/office/officeart/2005/8/layout/hierarchy1"/>
    <dgm:cxn modelId="{407F53A2-03C2-490B-93AC-D56BB53D6B42}" type="presOf" srcId="{E309A272-3F81-46A3-BB45-0D569F832774}" destId="{BEB672C6-ECEB-4CF3-B999-375AAB5FD1AD}" srcOrd="0" destOrd="0" presId="urn:microsoft.com/office/officeart/2005/8/layout/hierarchy1"/>
    <dgm:cxn modelId="{03CD19B0-BB15-48FF-BD84-94402ABECB3D}" srcId="{2C47EF0A-0E69-46AE-98C8-6A8987097F77}" destId="{815440BE-D1D1-484A-BF98-A80D92C7BC77}" srcOrd="1" destOrd="0" parTransId="{E309A272-3F81-46A3-BB45-0D569F832774}" sibTransId="{8FECD1CF-AD4D-4823-8ADD-B74015A5FAB0}"/>
    <dgm:cxn modelId="{9F762DDA-1A88-4274-833C-A426CE849203}" type="presOf" srcId="{2C47EF0A-0E69-46AE-98C8-6A8987097F77}" destId="{956D4FFF-436E-4951-9DAE-0D03EDECF4C9}" srcOrd="0" destOrd="0" presId="urn:microsoft.com/office/officeart/2005/8/layout/hierarchy1"/>
    <dgm:cxn modelId="{3F3FCAE7-E74C-40CA-A38B-3CBBA3324180}" srcId="{2B739F68-DC77-471E-BCF6-DC78E176CB70}" destId="{2C47EF0A-0E69-46AE-98C8-6A8987097F77}" srcOrd="0" destOrd="0" parTransId="{2663A213-C32D-4A91-BB51-E60FF12D27F0}" sibTransId="{3D0DF8DE-3829-4F05-A95B-2EA4F8173EBA}"/>
    <dgm:cxn modelId="{D82BC8FD-AD14-4511-BDDB-A4B1A1E77FD9}" srcId="{2C47EF0A-0E69-46AE-98C8-6A8987097F77}" destId="{E39E1C43-F299-4E1F-A432-55B5284A35AE}" srcOrd="0" destOrd="0" parTransId="{F71EE912-267F-4482-AB65-16A57A1BD5D4}" sibTransId="{BA21B95D-69A1-4AF1-A58C-B5B7DC00ABC9}"/>
    <dgm:cxn modelId="{2748D2D8-053C-45A7-A705-49EBAB6577D5}" type="presParOf" srcId="{9BF12E58-A750-4C14-B572-61002646DF8E}" destId="{7CEB1BD0-85B8-4DE8-A065-A3BD930F430A}" srcOrd="0" destOrd="0" presId="urn:microsoft.com/office/officeart/2005/8/layout/hierarchy1"/>
    <dgm:cxn modelId="{3C5C2623-9156-4990-B35E-827B02C79E88}" type="presParOf" srcId="{7CEB1BD0-85B8-4DE8-A065-A3BD930F430A}" destId="{2DC2283A-E32E-4610-BBA8-4748E44D39CD}" srcOrd="0" destOrd="0" presId="urn:microsoft.com/office/officeart/2005/8/layout/hierarchy1"/>
    <dgm:cxn modelId="{19E6DA0A-B818-4E9C-AA69-874DE2C01ADD}" type="presParOf" srcId="{2DC2283A-E32E-4610-BBA8-4748E44D39CD}" destId="{0420FE0D-0CCE-47AD-B4B1-14DFC1B8EABE}" srcOrd="0" destOrd="0" presId="urn:microsoft.com/office/officeart/2005/8/layout/hierarchy1"/>
    <dgm:cxn modelId="{BB541656-537F-412D-9654-4F037AA8C652}" type="presParOf" srcId="{2DC2283A-E32E-4610-BBA8-4748E44D39CD}" destId="{956D4FFF-436E-4951-9DAE-0D03EDECF4C9}" srcOrd="1" destOrd="0" presId="urn:microsoft.com/office/officeart/2005/8/layout/hierarchy1"/>
    <dgm:cxn modelId="{5DA521CB-B121-4226-8747-1DF27EDBF914}" type="presParOf" srcId="{7CEB1BD0-85B8-4DE8-A065-A3BD930F430A}" destId="{CC18794E-9603-47C9-9D3F-463F9F5BE75B}" srcOrd="1" destOrd="0" presId="urn:microsoft.com/office/officeart/2005/8/layout/hierarchy1"/>
    <dgm:cxn modelId="{E1EAFB99-5ECE-41AB-A250-65B5D53F4170}" type="presParOf" srcId="{CC18794E-9603-47C9-9D3F-463F9F5BE75B}" destId="{D7E2F928-80C1-460D-B727-65E9D965878F}" srcOrd="0" destOrd="0" presId="urn:microsoft.com/office/officeart/2005/8/layout/hierarchy1"/>
    <dgm:cxn modelId="{394CFFB0-0D11-4881-9612-5AFBA004F9E2}" type="presParOf" srcId="{CC18794E-9603-47C9-9D3F-463F9F5BE75B}" destId="{96B0D1D5-4784-4296-838E-19D9CF5F4989}" srcOrd="1" destOrd="0" presId="urn:microsoft.com/office/officeart/2005/8/layout/hierarchy1"/>
    <dgm:cxn modelId="{B9114D06-7C01-4BD1-83BA-5A30D64D66A6}" type="presParOf" srcId="{96B0D1D5-4784-4296-838E-19D9CF5F4989}" destId="{27FF7DE1-3F4C-4BA5-A3B4-FFADDDB4A516}" srcOrd="0" destOrd="0" presId="urn:microsoft.com/office/officeart/2005/8/layout/hierarchy1"/>
    <dgm:cxn modelId="{E6917FB7-08F0-4B6C-8372-8BEA2C9E23E2}" type="presParOf" srcId="{27FF7DE1-3F4C-4BA5-A3B4-FFADDDB4A516}" destId="{7AEA6D2C-B90E-4D63-A4B2-F1C4A17C9EE1}" srcOrd="0" destOrd="0" presId="urn:microsoft.com/office/officeart/2005/8/layout/hierarchy1"/>
    <dgm:cxn modelId="{7E2B79EE-DD82-435F-9C0E-683473703D40}" type="presParOf" srcId="{27FF7DE1-3F4C-4BA5-A3B4-FFADDDB4A516}" destId="{F0A88BC8-AB3D-4AA9-8B57-AE4545B7A275}" srcOrd="1" destOrd="0" presId="urn:microsoft.com/office/officeart/2005/8/layout/hierarchy1"/>
    <dgm:cxn modelId="{0052EFE7-814B-4203-882A-DF9C49E23888}" type="presParOf" srcId="{96B0D1D5-4784-4296-838E-19D9CF5F4989}" destId="{975B7690-B1C6-4A7C-B513-97D3D93C9404}" srcOrd="1" destOrd="0" presId="urn:microsoft.com/office/officeart/2005/8/layout/hierarchy1"/>
    <dgm:cxn modelId="{92E089E0-7257-43A1-B95F-3023C142AE9F}" type="presParOf" srcId="{CC18794E-9603-47C9-9D3F-463F9F5BE75B}" destId="{BEB672C6-ECEB-4CF3-B999-375AAB5FD1AD}" srcOrd="2" destOrd="0" presId="urn:microsoft.com/office/officeart/2005/8/layout/hierarchy1"/>
    <dgm:cxn modelId="{0BBF6244-66FE-4B40-9155-E50A47656C14}" type="presParOf" srcId="{CC18794E-9603-47C9-9D3F-463F9F5BE75B}" destId="{CD9FA343-B03F-491F-BC88-6731B2EE3142}" srcOrd="3" destOrd="0" presId="urn:microsoft.com/office/officeart/2005/8/layout/hierarchy1"/>
    <dgm:cxn modelId="{1D70BC83-DA77-4BC5-B82D-99CA07A97664}" type="presParOf" srcId="{CD9FA343-B03F-491F-BC88-6731B2EE3142}" destId="{0DEB0DF9-70AB-4648-A418-62F80DC5A133}" srcOrd="0" destOrd="0" presId="urn:microsoft.com/office/officeart/2005/8/layout/hierarchy1"/>
    <dgm:cxn modelId="{3759690F-A315-4A6E-9744-B68F4CBCD573}" type="presParOf" srcId="{0DEB0DF9-70AB-4648-A418-62F80DC5A133}" destId="{6832DE1B-69D2-4442-BF66-9CEB02A6F67F}" srcOrd="0" destOrd="0" presId="urn:microsoft.com/office/officeart/2005/8/layout/hierarchy1"/>
    <dgm:cxn modelId="{A5EBBA65-A1E0-43DD-AF65-9A48ED55819A}" type="presParOf" srcId="{0DEB0DF9-70AB-4648-A418-62F80DC5A133}" destId="{7692DA6D-F2C2-42B4-94F9-ED93D289954B}" srcOrd="1" destOrd="0" presId="urn:microsoft.com/office/officeart/2005/8/layout/hierarchy1"/>
    <dgm:cxn modelId="{F11A0A4A-9B24-4F51-BDFE-69EA8F94FEF7}" type="presParOf" srcId="{CD9FA343-B03F-491F-BC88-6731B2EE3142}" destId="{A6F26242-17FC-4527-988B-09197D73E1CB}"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B672C6-ECEB-4CF3-B999-375AAB5FD1AD}">
      <dsp:nvSpPr>
        <dsp:cNvPr id="0" name=""/>
        <dsp:cNvSpPr/>
      </dsp:nvSpPr>
      <dsp:spPr>
        <a:xfrm>
          <a:off x="2636579" y="1219831"/>
          <a:ext cx="1172825" cy="558158"/>
        </a:xfrm>
        <a:custGeom>
          <a:avLst/>
          <a:gdLst/>
          <a:ahLst/>
          <a:cxnLst/>
          <a:rect l="0" t="0" r="0" b="0"/>
          <a:pathLst>
            <a:path>
              <a:moveTo>
                <a:pt x="0" y="0"/>
              </a:moveTo>
              <a:lnTo>
                <a:pt x="0" y="380368"/>
              </a:lnTo>
              <a:lnTo>
                <a:pt x="1172825" y="380368"/>
              </a:lnTo>
              <a:lnTo>
                <a:pt x="1172825" y="558158"/>
              </a:lnTo>
            </a:path>
          </a:pathLst>
        </a:custGeom>
        <a:noFill/>
        <a:ln w="12700" cap="flat" cmpd="sng" algn="ctr">
          <a:solidFill>
            <a:srgbClr val="1CADE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7E2F928-80C1-460D-B727-65E9D965878F}">
      <dsp:nvSpPr>
        <dsp:cNvPr id="0" name=""/>
        <dsp:cNvSpPr/>
      </dsp:nvSpPr>
      <dsp:spPr>
        <a:xfrm>
          <a:off x="1463754" y="1219831"/>
          <a:ext cx="1172825" cy="558158"/>
        </a:xfrm>
        <a:custGeom>
          <a:avLst/>
          <a:gdLst/>
          <a:ahLst/>
          <a:cxnLst/>
          <a:rect l="0" t="0" r="0" b="0"/>
          <a:pathLst>
            <a:path>
              <a:moveTo>
                <a:pt x="1172825" y="0"/>
              </a:moveTo>
              <a:lnTo>
                <a:pt x="1172825" y="380368"/>
              </a:lnTo>
              <a:lnTo>
                <a:pt x="0" y="380368"/>
              </a:lnTo>
              <a:lnTo>
                <a:pt x="0" y="558158"/>
              </a:lnTo>
            </a:path>
          </a:pathLst>
        </a:custGeom>
        <a:noFill/>
        <a:ln w="12700" cap="flat" cmpd="sng" algn="ctr">
          <a:solidFill>
            <a:srgbClr val="1CADE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20FE0D-0CCE-47AD-B4B1-14DFC1B8EABE}">
      <dsp:nvSpPr>
        <dsp:cNvPr id="0" name=""/>
        <dsp:cNvSpPr/>
      </dsp:nvSpPr>
      <dsp:spPr>
        <a:xfrm>
          <a:off x="1676995" y="115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6D4FFF-436E-4951-9DAE-0D03EDECF4C9}">
      <dsp:nvSpPr>
        <dsp:cNvPr id="0" name=""/>
        <dsp:cNvSpPr/>
      </dsp:nvSpPr>
      <dsp:spPr>
        <a:xfrm>
          <a:off x="1890236" y="20373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hr-HR" sz="2000" kern="1200">
              <a:solidFill>
                <a:sysClr val="windowText" lastClr="000000">
                  <a:hueOff val="0"/>
                  <a:satOff val="0"/>
                  <a:lumOff val="0"/>
                  <a:alphaOff val="0"/>
                </a:sysClr>
              </a:solidFill>
              <a:latin typeface="Calibri" panose="020F0502020204030204"/>
              <a:ea typeface="+mn-ea"/>
              <a:cs typeface="+mn-cs"/>
            </a:rPr>
            <a:t>Integrirani teritorijalni program</a:t>
          </a:r>
        </a:p>
      </dsp:txBody>
      <dsp:txXfrm>
        <a:off x="1925930" y="239432"/>
        <a:ext cx="1847780" cy="1147283"/>
      </dsp:txXfrm>
    </dsp:sp>
    <dsp:sp modelId="{7AEA6D2C-B90E-4D63-A4B2-F1C4A17C9EE1}">
      <dsp:nvSpPr>
        <dsp:cNvPr id="0" name=""/>
        <dsp:cNvSpPr/>
      </dsp:nvSpPr>
      <dsp:spPr>
        <a:xfrm>
          <a:off x="504170" y="177798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A88BC8-AB3D-4AA9-8B57-AE4545B7A275}">
      <dsp:nvSpPr>
        <dsp:cNvPr id="0" name=""/>
        <dsp:cNvSpPr/>
      </dsp:nvSpPr>
      <dsp:spPr>
        <a:xfrm>
          <a:off x="717411" y="198056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hr-HR" sz="2000" kern="1200">
              <a:solidFill>
                <a:sysClr val="windowText" lastClr="000000">
                  <a:hueOff val="0"/>
                  <a:satOff val="0"/>
                  <a:lumOff val="0"/>
                  <a:alphaOff val="0"/>
                </a:sysClr>
              </a:solidFill>
              <a:latin typeface="Calibri" panose="020F0502020204030204"/>
              <a:ea typeface="+mn-ea"/>
              <a:cs typeface="+mn-cs"/>
            </a:rPr>
            <a:t>Europski fond za regionalni razvoj</a:t>
          </a:r>
        </a:p>
      </dsp:txBody>
      <dsp:txXfrm>
        <a:off x="753105" y="2016262"/>
        <a:ext cx="1847780" cy="1147283"/>
      </dsp:txXfrm>
    </dsp:sp>
    <dsp:sp modelId="{6832DE1B-69D2-4442-BF66-9CEB02A6F67F}">
      <dsp:nvSpPr>
        <dsp:cNvPr id="0" name=""/>
        <dsp:cNvSpPr/>
      </dsp:nvSpPr>
      <dsp:spPr>
        <a:xfrm>
          <a:off x="2849820" y="177798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92DA6D-F2C2-42B4-94F9-ED93D289954B}">
      <dsp:nvSpPr>
        <dsp:cNvPr id="0" name=""/>
        <dsp:cNvSpPr/>
      </dsp:nvSpPr>
      <dsp:spPr>
        <a:xfrm>
          <a:off x="3063061" y="198056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hr-HR" sz="2000" kern="1200">
              <a:solidFill>
                <a:sysClr val="windowText" lastClr="000000">
                  <a:hueOff val="0"/>
                  <a:satOff val="0"/>
                  <a:lumOff val="0"/>
                  <a:alphaOff val="0"/>
                </a:sysClr>
              </a:solidFill>
              <a:latin typeface="Calibri" panose="020F0502020204030204"/>
              <a:ea typeface="+mn-ea"/>
              <a:cs typeface="+mn-cs"/>
            </a:rPr>
            <a:t>Fond za pravednu tranziciju</a:t>
          </a:r>
        </a:p>
      </dsp:txBody>
      <dsp:txXfrm>
        <a:off x="3098755" y="2016262"/>
        <a:ext cx="1847780" cy="114728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6688-20A0-4B2B-81F2-576F193A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20244</Words>
  <Characters>115392</Characters>
  <Application>Microsoft Office Word</Application>
  <DocSecurity>0</DocSecurity>
  <Lines>961</Lines>
  <Paragraphs>270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135366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dc:creator>
  <cp:keywords/>
  <dc:description/>
  <cp:lastModifiedBy>Author</cp:lastModifiedBy>
  <cp:revision>65</cp:revision>
  <cp:lastPrinted>2022-02-16T08:20:00Z</cp:lastPrinted>
  <dcterms:created xsi:type="dcterms:W3CDTF">2022-01-13T09:35:00Z</dcterms:created>
  <dcterms:modified xsi:type="dcterms:W3CDTF">2022-02-24T09:31:00Z</dcterms:modified>
</cp:coreProperties>
</file>